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spacing w:after="0" w:line="360" w:lineRule="auto"/>
        <w:jc w:val="center"/>
        <w:rPr>
          <w:rFonts w:ascii="Times New Roman" w:hAnsi="Times New Roman"/>
          <w:b/>
          <w:bCs/>
          <w:i/>
          <w:sz w:val="40"/>
          <w:szCs w:val="40"/>
        </w:rPr>
      </w:pPr>
    </w:p>
    <w:p>
      <w:pPr>
        <w:spacing w:after="0" w:line="360" w:lineRule="auto"/>
        <w:jc w:val="center"/>
        <w:rPr>
          <w:rFonts w:ascii="Times New Roman" w:hAnsi="Times New Roman"/>
          <w:b/>
          <w:bCs/>
          <w:i/>
          <w:sz w:val="40"/>
          <w:szCs w:val="40"/>
        </w:rPr>
      </w:pPr>
      <w:r>
        <w:rPr>
          <w:rFonts w:ascii="Times New Roman" w:hAnsi="Times New Roman"/>
          <w:b/>
          <w:bCs/>
          <w:i/>
          <w:sz w:val="40"/>
          <w:szCs w:val="40"/>
        </w:rPr>
        <w:t>СХЕМА ТЕПЛОСНАБЖЕНИЯ</w:t>
      </w:r>
    </w:p>
    <w:p>
      <w:pPr>
        <w:spacing w:after="0" w:line="360" w:lineRule="auto"/>
        <w:jc w:val="center"/>
        <w:rPr>
          <w:rFonts w:ascii="Times New Roman" w:hAnsi="Times New Roman"/>
          <w:b/>
          <w:bCs/>
          <w:i/>
          <w:sz w:val="40"/>
          <w:szCs w:val="40"/>
        </w:rPr>
      </w:pPr>
      <w:proofErr w:type="spellStart"/>
      <w:r>
        <w:rPr>
          <w:rFonts w:ascii="Times New Roman" w:hAnsi="Times New Roman"/>
          <w:b/>
          <w:bCs/>
          <w:i/>
          <w:sz w:val="40"/>
          <w:szCs w:val="40"/>
        </w:rPr>
        <w:t>Тигрицкого</w:t>
      </w:r>
      <w:proofErr w:type="spellEnd"/>
      <w:r>
        <w:rPr>
          <w:rFonts w:ascii="Times New Roman" w:hAnsi="Times New Roman"/>
          <w:b/>
          <w:bCs/>
          <w:i/>
          <w:sz w:val="40"/>
          <w:szCs w:val="40"/>
        </w:rPr>
        <w:t xml:space="preserve"> Сельсовета</w:t>
      </w:r>
    </w:p>
    <w:p>
      <w:pPr>
        <w:spacing w:after="0" w:line="360" w:lineRule="auto"/>
        <w:jc w:val="center"/>
        <w:rPr>
          <w:rFonts w:ascii="Times New Roman" w:hAnsi="Times New Roman"/>
          <w:b/>
          <w:bCs/>
          <w:i/>
          <w:sz w:val="40"/>
          <w:szCs w:val="40"/>
        </w:rPr>
      </w:pPr>
      <w:r>
        <w:rPr>
          <w:rFonts w:ascii="Times New Roman" w:hAnsi="Times New Roman"/>
          <w:b/>
          <w:bCs/>
          <w:i/>
          <w:sz w:val="40"/>
          <w:szCs w:val="40"/>
        </w:rPr>
        <w:t xml:space="preserve">Минусинского района  </w:t>
      </w:r>
    </w:p>
    <w:p>
      <w:pPr>
        <w:spacing w:line="360" w:lineRule="auto"/>
        <w:jc w:val="center"/>
        <w:rPr>
          <w:rFonts w:ascii="Times New Roman" w:hAnsi="Times New Roman"/>
          <w:b/>
          <w:bCs/>
          <w:i/>
          <w:sz w:val="40"/>
          <w:szCs w:val="40"/>
        </w:rPr>
      </w:pPr>
      <w:r>
        <w:rPr>
          <w:rFonts w:ascii="Times New Roman" w:hAnsi="Times New Roman"/>
          <w:b/>
          <w:bCs/>
          <w:i/>
          <w:sz w:val="40"/>
          <w:szCs w:val="40"/>
        </w:rPr>
        <w:t>Красноярского края</w:t>
      </w:r>
    </w:p>
    <w:p>
      <w:pPr>
        <w:spacing w:line="360" w:lineRule="auto"/>
        <w:jc w:val="center"/>
        <w:rPr>
          <w:rFonts w:ascii="Times New Roman" w:hAnsi="Times New Roman"/>
          <w:b/>
          <w:bCs/>
          <w:i/>
          <w:sz w:val="40"/>
          <w:szCs w:val="40"/>
        </w:rPr>
      </w:pPr>
      <w:proofErr w:type="gramStart"/>
      <w:r>
        <w:rPr>
          <w:rFonts w:ascii="Times New Roman" w:hAnsi="Times New Roman"/>
          <w:b/>
          <w:bCs/>
          <w:i/>
          <w:sz w:val="40"/>
          <w:szCs w:val="40"/>
        </w:rPr>
        <w:t>на</w:t>
      </w:r>
      <w:proofErr w:type="gramEnd"/>
      <w:r>
        <w:rPr>
          <w:rFonts w:ascii="Times New Roman" w:hAnsi="Times New Roman"/>
          <w:b/>
          <w:bCs/>
          <w:i/>
          <w:sz w:val="40"/>
          <w:szCs w:val="40"/>
        </w:rPr>
        <w:t xml:space="preserve"> период до 2038 г.</w:t>
      </w:r>
    </w:p>
    <w:p>
      <w:pPr>
        <w:jc w:val="center"/>
        <w:rPr>
          <w:rFonts w:ascii="Times New Roman" w:hAnsi="Times New Roman"/>
          <w:b/>
          <w:bCs/>
          <w:i/>
          <w:sz w:val="40"/>
          <w:szCs w:val="40"/>
        </w:rPr>
      </w:pPr>
    </w:p>
    <w:p>
      <w:pPr>
        <w:jc w:val="center"/>
        <w:rPr>
          <w:rFonts w:ascii="Times New Roman" w:hAnsi="Times New Roman"/>
          <w:b/>
          <w:bCs/>
          <w:i/>
          <w:sz w:val="40"/>
          <w:szCs w:val="40"/>
        </w:rPr>
      </w:pPr>
      <w:r>
        <w:rPr>
          <w:rFonts w:ascii="Times New Roman" w:hAnsi="Times New Roman"/>
          <w:b/>
          <w:bCs/>
          <w:i/>
          <w:sz w:val="40"/>
          <w:szCs w:val="40"/>
        </w:rPr>
        <w:t>ТОМ 1. УТВЕРЖДАЕМАЯ ЧАСТЬ</w:t>
      </w: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jc w:val="center"/>
        <w:rPr>
          <w:rFonts w:ascii="Times New Roman" w:hAnsi="Times New Roman" w:cs="Times New Roman"/>
          <w:b/>
          <w:sz w:val="28"/>
          <w:szCs w:val="28"/>
        </w:rPr>
      </w:pPr>
      <w:r>
        <w:rPr>
          <w:rFonts w:ascii="Times New Roman" w:hAnsi="Times New Roman" w:cs="Times New Roman"/>
          <w:b/>
          <w:sz w:val="28"/>
          <w:szCs w:val="28"/>
        </w:rPr>
        <w:t>2025 г.</w:t>
      </w: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p>
      <w:pPr>
        <w:spacing w:after="0"/>
        <w:rPr>
          <w:rFonts w:ascii="Times New Roman" w:hAnsi="Times New Roman" w:cs="Times New Roman"/>
          <w:b/>
          <w:sz w:val="28"/>
          <w:szCs w:val="28"/>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44"/>
        <w:gridCol w:w="595"/>
      </w:tblGrid>
      <w:tr>
        <w:trPr>
          <w:trHeight w:val="267"/>
        </w:trPr>
        <w:tc>
          <w:tcPr>
            <w:tcW w:w="9044" w:type="dxa"/>
            <w:vAlign w:val="center"/>
          </w:tcPr>
          <w:p>
            <w:pPr>
              <w:spacing w:after="0" w:line="240" w:lineRule="auto"/>
              <w:jc w:val="center"/>
              <w:rPr>
                <w:rFonts w:ascii="Times New Roman" w:hAnsi="Times New Roman"/>
                <w:b/>
                <w:i/>
              </w:rPr>
            </w:pPr>
            <w:r>
              <w:rPr>
                <w:rFonts w:ascii="Times New Roman" w:hAnsi="Times New Roman"/>
                <w:sz w:val="28"/>
                <w:szCs w:val="28"/>
              </w:rPr>
              <w:lastRenderedPageBreak/>
              <w:tab/>
            </w:r>
            <w:r>
              <w:rPr>
                <w:rFonts w:ascii="Times New Roman" w:hAnsi="Times New Roman"/>
                <w:b/>
                <w:i/>
              </w:rPr>
              <w:t>СОДЕРЖАНИЕ</w:t>
            </w:r>
          </w:p>
        </w:tc>
        <w:tc>
          <w:tcPr>
            <w:tcW w:w="595" w:type="dxa"/>
            <w:vAlign w:val="center"/>
          </w:tcPr>
          <w:p>
            <w:pPr>
              <w:spacing w:after="0" w:line="240" w:lineRule="auto"/>
              <w:jc w:val="center"/>
              <w:rPr>
                <w:rFonts w:ascii="Times New Roman" w:hAnsi="Times New Roman"/>
                <w:b/>
                <w:i/>
              </w:rPr>
            </w:pPr>
            <w:r>
              <w:rPr>
                <w:rFonts w:ascii="Times New Roman" w:hAnsi="Times New Roman"/>
                <w:b/>
                <w:i/>
              </w:rPr>
              <w:t>Стр.</w:t>
            </w:r>
          </w:p>
        </w:tc>
      </w:tr>
      <w:tr>
        <w:tc>
          <w:tcPr>
            <w:tcW w:w="9044" w:type="dxa"/>
            <w:vAlign w:val="center"/>
          </w:tcPr>
          <w:p>
            <w:pPr>
              <w:spacing w:before="100" w:beforeAutospacing="1" w:after="0" w:line="240" w:lineRule="auto"/>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ВВЕДЕНИЕ</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3</w:t>
            </w:r>
          </w:p>
        </w:tc>
      </w:tr>
      <w:tr>
        <w:tc>
          <w:tcPr>
            <w:tcW w:w="9044" w:type="dxa"/>
            <w:vAlign w:val="center"/>
          </w:tcPr>
          <w:p>
            <w:pPr>
              <w:spacing w:before="100" w:beforeAutospacing="1" w:after="0" w:line="240" w:lineRule="auto"/>
              <w:ind w:right="147"/>
              <w:jc w:val="both"/>
              <w:rPr>
                <w:rFonts w:ascii="Times New Roman" w:eastAsia="Times New Roman" w:hAnsi="Times New Roman"/>
                <w:sz w:val="20"/>
                <w:szCs w:val="20"/>
                <w:lang w:eastAsia="ru-RU"/>
              </w:rPr>
            </w:pPr>
            <w:r>
              <w:rPr>
                <w:rFonts w:ascii="Times New Roman" w:eastAsia="Times New Roman" w:hAnsi="Times New Roman"/>
                <w:b/>
                <w:i/>
                <w:sz w:val="20"/>
                <w:szCs w:val="20"/>
                <w:lang w:eastAsia="ru-RU"/>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595" w:type="dxa"/>
            <w:vAlign w:val="center"/>
          </w:tcPr>
          <w:p>
            <w:pPr>
              <w:spacing w:after="0" w:line="240" w:lineRule="auto"/>
              <w:jc w:val="center"/>
              <w:rPr>
                <w:rFonts w:ascii="Times New Roman" w:hAnsi="Times New Roman"/>
                <w:b/>
                <w:i/>
                <w:sz w:val="20"/>
                <w:szCs w:val="20"/>
                <w:lang w:val="en-US"/>
              </w:rPr>
            </w:pPr>
            <w:r>
              <w:rPr>
                <w:rFonts w:ascii="Times New Roman" w:hAnsi="Times New Roman"/>
                <w:b/>
                <w:i/>
                <w:sz w:val="20"/>
                <w:szCs w:val="20"/>
              </w:rPr>
              <w:t>5</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2. СУЩЕСТВУЮЩИЕ И ПЕРСПЕКТИВНЫЕ БАЛАНСЫ РАСПОЛАГАЕМОЙ ТЕПЛОВОЙ МОЩНОСТИ ИСТОЧНИКОВ ТЕПЛОВОЙ ЭНЕРГИИ И ТЕПЛОВОЙ НАГРУЗКИ ПОТРЕБИТЕЛЕЙ</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6</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3. СУЩЕСТВУЮЩИЕ И ПЕРСПЕКТИВНЫЕ БАЛАНСЫ ТЕПЛОНОСИТЕЛЯ</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11</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4. ОСНОВНЫЕ ПОЛОЖЕНИЯ МАСТЕР-ПЛАНА РАЗВИТИЯ СИСТЕМ ТЕПЛОСНАБЖЕНИЯ ПОСЕЛЕНИЯ</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14</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5. ПРЕДЛОЖЕНИЯ ПО СТРОИТЕЛЬСТВУ, РЕКОНСТРУКЦИИ, ТЕХНИЧЕСКОМУ ПЕРЕВООРУЖЕНИЮ И (ИЛИ) МОДЕРНИЗАЦИИ ИСТОЧНИКОВ ТЕПЛОВОЙ ЭНЕРГИИ</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15</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6. ПРЕДЛОЖЕНИЯ ПО СТРОИТЕЛЬСТВУ, РЕКОНСТРУКЦИИ И (ИЛИ) МОДЕРНИЗАЦИИ ТЕПЛОВЫХ СЕТЕЙ</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19</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7. ПРЕДЛОЖЕНИЯ ПО ПЕРЕВОДУ ОТКРЫТЫХ СИСТЕМ ТЕПЛОСНАБЖЕНИЯ (ГОРЯЧЕГО ВОДОСНАБЖЕНИЯ) В ЗАКРЫТЫЕ СИСТЕМЫ ГОРЯЧЕГО ВОДОСНАБЖЕНИЯ</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19</w:t>
            </w:r>
          </w:p>
        </w:tc>
      </w:tr>
    </w:tbl>
    <w:tbl>
      <w:tblPr>
        <w:tblpPr w:leftFromText="180" w:rightFromText="180" w:vertAnchor="text" w:horzAnchor="margin" w:tblpY="6"/>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44"/>
        <w:gridCol w:w="595"/>
      </w:tblGrid>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8. ПЕРСПЕКТИВНЫЕ ТОПЛИВНЫЕ БАЛАНСЫ</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21</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9. ИНВЕСТИЦИИ В СТРОИТЕЛЬСТВО, РЕКОНСТРУКЦИЮ, ТЕХНИЧЕСКОЕ ПЕРЕВООРУЖЕНИЕ И (ИЛИ) МОДЕРНИЗАЦИЮ</w:t>
            </w:r>
          </w:p>
        </w:tc>
        <w:tc>
          <w:tcPr>
            <w:tcW w:w="595" w:type="dxa"/>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22</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10. РЕШЕНИЕ ОБ ОПРЕДЕЛЕНИИ ЕДИНОЙ ТЕПЛОСНАБЖАЮЩЕЙ ОРГАНИЗАЦИИ</w:t>
            </w:r>
          </w:p>
        </w:tc>
        <w:tc>
          <w:tcPr>
            <w:tcW w:w="595" w:type="dxa"/>
            <w:vAlign w:val="center"/>
          </w:tcPr>
          <w:p>
            <w:pPr>
              <w:spacing w:after="0" w:line="240" w:lineRule="auto"/>
              <w:jc w:val="center"/>
              <w:rPr>
                <w:rFonts w:ascii="Times New Roman" w:hAnsi="Times New Roman"/>
                <w:b/>
                <w:i/>
              </w:rPr>
            </w:pPr>
            <w:r>
              <w:rPr>
                <w:rFonts w:ascii="Times New Roman" w:hAnsi="Times New Roman"/>
                <w:b/>
                <w:i/>
              </w:rPr>
              <w:t>24</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11. РЕШЕНИЯ О РАСПРЕДЕЛЕНИИ ТЕПЛОВОЙ НАГРУЗКИ МЕЖДУ ИСТОЧНИКАМИ ТЕПЛОВОЙ ЭНЕРГИИ</w:t>
            </w:r>
          </w:p>
        </w:tc>
        <w:tc>
          <w:tcPr>
            <w:tcW w:w="595" w:type="dxa"/>
            <w:vAlign w:val="center"/>
          </w:tcPr>
          <w:p>
            <w:pPr>
              <w:spacing w:after="0" w:line="240" w:lineRule="auto"/>
              <w:jc w:val="center"/>
              <w:rPr>
                <w:rFonts w:ascii="Times New Roman" w:hAnsi="Times New Roman"/>
                <w:b/>
                <w:i/>
              </w:rPr>
            </w:pPr>
            <w:r>
              <w:rPr>
                <w:rFonts w:ascii="Times New Roman" w:hAnsi="Times New Roman"/>
                <w:b/>
                <w:i/>
              </w:rPr>
              <w:t>26</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12. РЕШЕНИЯ ПО БЕСХОЗЯЙНЫМ ТЕПЛОВЫМ СЕТЯМ</w:t>
            </w:r>
          </w:p>
        </w:tc>
        <w:tc>
          <w:tcPr>
            <w:tcW w:w="595" w:type="dxa"/>
            <w:vAlign w:val="center"/>
          </w:tcPr>
          <w:p>
            <w:pPr>
              <w:spacing w:after="0" w:line="240" w:lineRule="auto"/>
              <w:jc w:val="center"/>
              <w:rPr>
                <w:rFonts w:ascii="Times New Roman" w:hAnsi="Times New Roman"/>
                <w:b/>
                <w:i/>
              </w:rPr>
            </w:pPr>
            <w:r>
              <w:rPr>
                <w:rFonts w:ascii="Times New Roman" w:hAnsi="Times New Roman"/>
                <w:b/>
                <w:i/>
              </w:rPr>
              <w:t>26</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c>
          <w:tcPr>
            <w:tcW w:w="595" w:type="dxa"/>
            <w:vAlign w:val="center"/>
          </w:tcPr>
          <w:p>
            <w:pPr>
              <w:spacing w:after="0" w:line="240" w:lineRule="auto"/>
              <w:jc w:val="center"/>
              <w:rPr>
                <w:rFonts w:ascii="Times New Roman" w:hAnsi="Times New Roman"/>
                <w:b/>
                <w:i/>
              </w:rPr>
            </w:pPr>
            <w:r>
              <w:rPr>
                <w:rFonts w:ascii="Times New Roman" w:hAnsi="Times New Roman"/>
                <w:b/>
                <w:i/>
              </w:rPr>
              <w:t>27</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14. ИНДИКАТОРЫ РАЗВИТИЯ СИСТЕМ ТЕПЛОСНАБЖЕНИЯ ПОСЕЛЕНИЯ</w:t>
            </w:r>
          </w:p>
        </w:tc>
        <w:tc>
          <w:tcPr>
            <w:tcW w:w="595" w:type="dxa"/>
            <w:vAlign w:val="center"/>
          </w:tcPr>
          <w:p>
            <w:pPr>
              <w:spacing w:after="0" w:line="240" w:lineRule="auto"/>
              <w:jc w:val="center"/>
              <w:rPr>
                <w:rFonts w:ascii="Times New Roman" w:hAnsi="Times New Roman"/>
                <w:b/>
                <w:i/>
              </w:rPr>
            </w:pPr>
            <w:r>
              <w:rPr>
                <w:rFonts w:ascii="Times New Roman" w:hAnsi="Times New Roman"/>
                <w:b/>
                <w:i/>
              </w:rPr>
              <w:t>28</w:t>
            </w:r>
          </w:p>
        </w:tc>
      </w:tr>
      <w:tr>
        <w:tc>
          <w:tcPr>
            <w:tcW w:w="9044" w:type="dxa"/>
            <w:vAlign w:val="center"/>
          </w:tcPr>
          <w:p>
            <w:pPr>
              <w:spacing w:before="100" w:beforeAutospacing="1" w:after="0" w:line="240" w:lineRule="auto"/>
              <w:jc w:val="both"/>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РАЗДЕЛ 15. ЦЕНОВЫЕ (ТАРИФНЫЕ) ПОСЛЕДСТВИЯ</w:t>
            </w:r>
          </w:p>
        </w:tc>
        <w:tc>
          <w:tcPr>
            <w:tcW w:w="595" w:type="dxa"/>
            <w:vAlign w:val="center"/>
          </w:tcPr>
          <w:p>
            <w:pPr>
              <w:spacing w:after="0" w:line="240" w:lineRule="auto"/>
              <w:jc w:val="center"/>
              <w:rPr>
                <w:rFonts w:ascii="Times New Roman" w:hAnsi="Times New Roman"/>
                <w:b/>
                <w:i/>
              </w:rPr>
            </w:pPr>
            <w:r>
              <w:rPr>
                <w:rFonts w:ascii="Times New Roman" w:hAnsi="Times New Roman"/>
                <w:b/>
                <w:i/>
              </w:rPr>
              <w:t>29</w:t>
            </w:r>
          </w:p>
        </w:tc>
      </w:tr>
    </w:tbl>
    <w:p>
      <w:pPr>
        <w:spacing w:before="100" w:beforeAutospacing="1" w:after="0" w:line="240" w:lineRule="auto"/>
        <w:jc w:val="both"/>
        <w:rPr>
          <w:rFonts w:ascii="Times New Roman" w:eastAsia="Times New Roman" w:hAnsi="Times New Roman"/>
          <w:sz w:val="20"/>
          <w:szCs w:val="20"/>
          <w:lang w:eastAsia="ru-RU"/>
        </w:rPr>
        <w:sectPr>
          <w:headerReference w:type="default" r:id="rId7"/>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autoSpaceDE w:val="0"/>
        <w:autoSpaceDN w:val="0"/>
        <w:adjustRightInd w:val="0"/>
        <w:spacing w:after="0" w:line="360" w:lineRule="auto"/>
        <w:ind w:firstLine="567"/>
        <w:jc w:val="both"/>
        <w:rPr>
          <w:rFonts w:ascii="Times New Roman" w:hAnsi="Times New Roman"/>
          <w:sz w:val="48"/>
          <w:szCs w:val="48"/>
        </w:rPr>
      </w:pPr>
      <w:r>
        <w:rPr>
          <w:rFonts w:ascii="Times New Roman" w:hAnsi="Times New Roman"/>
          <w:sz w:val="48"/>
          <w:szCs w:val="48"/>
        </w:rPr>
        <w:lastRenderedPageBreak/>
        <w:t>Введение</w:t>
      </w:r>
    </w:p>
    <w:p>
      <w:pPr>
        <w:autoSpaceDE w:val="0"/>
        <w:autoSpaceDN w:val="0"/>
        <w:adjustRightInd w:val="0"/>
        <w:spacing w:after="0" w:line="360" w:lineRule="auto"/>
        <w:ind w:firstLine="567"/>
        <w:jc w:val="both"/>
        <w:rPr>
          <w:rFonts w:ascii="Times New Roman" w:hAnsi="Times New Roman"/>
          <w:sz w:val="28"/>
          <w:szCs w:val="28"/>
        </w:rPr>
      </w:pP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Пояснительная записка составлена в соответствии с Постановлением Правительства Российской Федерации от 22 февраля 2012г. №154 «О требованиях к схемам теплоснабжения, порядку их разработки и утверждения», Постановление Правительства Российской Федерации от 3 апреля 2018г. №405 «О внесении изменений в некоторые акты правительства Российской Федерации», Федеральный закон «О теплоснабжении». Приказ №190-ФЗ от 27.07.2010г., Методическими рекомендациями по разработке схем теплоснабжения, утвержденными совместным приказом Минэнерго России и </w:t>
      </w:r>
      <w:proofErr w:type="spellStart"/>
      <w:r>
        <w:rPr>
          <w:rFonts w:ascii="Times New Roman" w:hAnsi="Times New Roman"/>
          <w:sz w:val="28"/>
          <w:szCs w:val="28"/>
        </w:rPr>
        <w:t>Минрегиона</w:t>
      </w:r>
      <w:proofErr w:type="spellEnd"/>
      <w:r>
        <w:rPr>
          <w:rFonts w:ascii="Times New Roman" w:hAnsi="Times New Roman"/>
          <w:sz w:val="28"/>
          <w:szCs w:val="28"/>
        </w:rPr>
        <w:t xml:space="preserve"> России, Федеральным законом от 27.07.2010г. № 190-ФЗ (ред. от 03.02.2014г.) «О теплоснабжении», Постановлением Правительства РФ от 7 октября 2014г. № 1016 «О внесении изменений в требования к схемам теплоснабжения, утвержденные постановлением Правительства Российской Федерации от 22 февраля 2012г. № 154», Правилами организации теплоснабжения в Российской Федерации (утв. постановлением Правительства РФ от 8 августа 2012г. № 808), актуализированных редакций СНиП 41-02-2003 «Тепловые сети» и СНиП II-35-76 «Котельная установки», Методическими указаниями по расчету уровня и порядку определения показателей надёжности и качества поставляемых товаров и оказываемых услуг для организаций, осуществляющих деятельность по производству и (или) передаче тепловой энергии.</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экономическое стимулирование развития систем теплоснабжения и внедрения энергосберегающих технологий, улучшение работы систем теплоснабжения.</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lastRenderedPageBreak/>
        <w:t xml:space="preserve">Основой для разработки схемы теплоснабжения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до 2038 года являются:</w:t>
      </w:r>
    </w:p>
    <w:p>
      <w:pPr>
        <w:spacing w:after="0" w:line="360" w:lineRule="auto"/>
        <w:ind w:firstLine="567"/>
        <w:jc w:val="both"/>
        <w:rPr>
          <w:rFonts w:ascii="Times New Roman" w:hAnsi="Times New Roman"/>
          <w:bCs/>
          <w:sz w:val="28"/>
        </w:rPr>
      </w:pPr>
      <w:r>
        <w:rPr>
          <w:rFonts w:ascii="Times New Roman" w:hAnsi="Times New Roman"/>
          <w:color w:val="0D0D0D"/>
          <w:sz w:val="28"/>
          <w:szCs w:val="44"/>
        </w:rPr>
        <w:t>–</w:t>
      </w:r>
      <w:r>
        <w:rPr>
          <w:rFonts w:ascii="Times New Roman" w:hAnsi="Times New Roman"/>
          <w:sz w:val="28"/>
          <w:szCs w:val="28"/>
        </w:rPr>
        <w:t> </w:t>
      </w:r>
      <w:r>
        <w:rPr>
          <w:rFonts w:ascii="Times New Roman" w:hAnsi="Times New Roman"/>
          <w:sz w:val="28"/>
        </w:rPr>
        <w:t xml:space="preserve">Генеральный план (Положение о территориальном планировании) </w:t>
      </w:r>
      <w:proofErr w:type="spellStart"/>
      <w:r>
        <w:rPr>
          <w:rFonts w:ascii="Times New Roman" w:hAnsi="Times New Roman"/>
          <w:sz w:val="28"/>
        </w:rPr>
        <w:t>Тигрицкого</w:t>
      </w:r>
      <w:proofErr w:type="spellEnd"/>
      <w:r>
        <w:rPr>
          <w:rFonts w:ascii="Times New Roman" w:hAnsi="Times New Roman"/>
          <w:sz w:val="28"/>
        </w:rPr>
        <w:t xml:space="preserve"> сельсовета </w:t>
      </w:r>
      <w:r>
        <w:rPr>
          <w:rFonts w:ascii="Times New Roman" w:eastAsia="Times New Roman" w:hAnsi="Times New Roman"/>
          <w:color w:val="000000"/>
          <w:sz w:val="28"/>
          <w:szCs w:val="28"/>
          <w:lang w:eastAsia="ru-RU"/>
        </w:rPr>
        <w:t>Минусинского района</w:t>
      </w:r>
      <w:r>
        <w:rPr>
          <w:rFonts w:ascii="Arial" w:eastAsia="Times New Roman" w:hAnsi="Arial" w:cs="Arial"/>
          <w:color w:val="000000"/>
          <w:sz w:val="27"/>
          <w:szCs w:val="27"/>
          <w:lang w:eastAsia="ru-RU"/>
        </w:rPr>
        <w:t xml:space="preserve"> </w:t>
      </w:r>
      <w:r>
        <w:rPr>
          <w:rFonts w:ascii="Times New Roman" w:hAnsi="Times New Roman"/>
          <w:sz w:val="28"/>
        </w:rPr>
        <w:t>Красноярского края</w:t>
      </w:r>
      <w:r>
        <w:rPr>
          <w:sz w:val="28"/>
        </w:rPr>
        <w:t xml:space="preserve"> </w:t>
      </w:r>
      <w:r>
        <w:rPr>
          <w:rFonts w:ascii="Times New Roman" w:hAnsi="Times New Roman"/>
          <w:bCs/>
          <w:sz w:val="28"/>
        </w:rPr>
        <w:t>до 2038 года;</w:t>
      </w:r>
    </w:p>
    <w:p>
      <w:pPr>
        <w:spacing w:after="0" w:line="360" w:lineRule="auto"/>
        <w:ind w:firstLine="567"/>
        <w:jc w:val="both"/>
        <w:rPr>
          <w:rFonts w:ascii="Calibri" w:eastAsia="Calibri" w:hAnsi="Calibri" w:cs="Times New Roman"/>
          <w:b/>
        </w:rPr>
      </w:pPr>
      <w:r>
        <w:rPr>
          <w:rFonts w:ascii="Times New Roman" w:eastAsia="Calibri" w:hAnsi="Times New Roman" w:cs="Times New Roman"/>
          <w:color w:val="0D0D0D"/>
          <w:sz w:val="28"/>
          <w:szCs w:val="44"/>
        </w:rPr>
        <w:t>–</w:t>
      </w:r>
      <w:r>
        <w:rPr>
          <w:rFonts w:ascii="Times New Roman" w:eastAsia="Calibri" w:hAnsi="Times New Roman" w:cs="Times New Roman"/>
          <w:bCs/>
          <w:sz w:val="28"/>
          <w:szCs w:val="20"/>
        </w:rPr>
        <w:t> </w:t>
      </w:r>
      <w:r>
        <w:rPr>
          <w:rFonts w:ascii="Times New Roman" w:eastAsia="Calibri" w:hAnsi="Times New Roman" w:cs="Times New Roman"/>
          <w:sz w:val="28"/>
        </w:rPr>
        <w:t>Том 2</w:t>
      </w:r>
      <w:r>
        <w:rPr>
          <w:rFonts w:ascii="Times New Roman" w:eastAsia="Calibri" w:hAnsi="Times New Roman" w:cs="Times New Roman"/>
          <w:bCs/>
          <w:sz w:val="28"/>
        </w:rPr>
        <w:t xml:space="preserve"> (</w:t>
      </w:r>
      <w:r>
        <w:rPr>
          <w:rFonts w:ascii="Times New Roman" w:eastAsia="Calibri" w:hAnsi="Times New Roman" w:cs="Times New Roman"/>
          <w:sz w:val="28"/>
        </w:rPr>
        <w:t xml:space="preserve">Материалы по обоснованию генерального плана) </w:t>
      </w:r>
      <w:proofErr w:type="spellStart"/>
      <w:r>
        <w:rPr>
          <w:rFonts w:ascii="Times New Roman" w:eastAsia="Calibri" w:hAnsi="Times New Roman" w:cs="Times New Roman"/>
          <w:sz w:val="28"/>
        </w:rPr>
        <w:t>Тигрицкого</w:t>
      </w:r>
      <w:proofErr w:type="spellEnd"/>
      <w:r>
        <w:rPr>
          <w:rFonts w:ascii="Times New Roman" w:eastAsia="Calibri" w:hAnsi="Times New Roman" w:cs="Times New Roman"/>
          <w:sz w:val="28"/>
        </w:rPr>
        <w:t xml:space="preserve"> сельсовета </w:t>
      </w:r>
      <w:r>
        <w:rPr>
          <w:rFonts w:ascii="Times New Roman" w:eastAsia="Times New Roman" w:hAnsi="Times New Roman" w:cs="Times New Roman"/>
          <w:color w:val="000000"/>
          <w:sz w:val="28"/>
          <w:szCs w:val="28"/>
          <w:lang w:eastAsia="ru-RU"/>
        </w:rPr>
        <w:t>Минусинского района</w:t>
      </w:r>
      <w:r>
        <w:rPr>
          <w:rFonts w:ascii="Arial" w:eastAsia="Times New Roman" w:hAnsi="Arial" w:cs="Arial"/>
          <w:color w:val="000000"/>
          <w:sz w:val="27"/>
          <w:szCs w:val="27"/>
          <w:lang w:eastAsia="ru-RU"/>
        </w:rPr>
        <w:t xml:space="preserve"> </w:t>
      </w:r>
      <w:r>
        <w:rPr>
          <w:rFonts w:ascii="Times New Roman" w:eastAsia="Calibri" w:hAnsi="Times New Roman" w:cs="Times New Roman"/>
          <w:sz w:val="28"/>
        </w:rPr>
        <w:t>до 2038 года;</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При разработке схемы теплоснабжения использовались:</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color w:val="0D0D0D"/>
          <w:sz w:val="28"/>
          <w:szCs w:val="44"/>
        </w:rPr>
        <w:t>–</w:t>
      </w:r>
      <w:r>
        <w:rPr>
          <w:rFonts w:ascii="Times New Roman" w:hAnsi="Times New Roman"/>
          <w:sz w:val="28"/>
          <w:szCs w:val="28"/>
        </w:rPr>
        <w:t> документы территориального планирования, карты градостроительного зонирования, публичные кадастровые карты и др.;</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color w:val="0D0D0D"/>
          <w:sz w:val="28"/>
          <w:szCs w:val="44"/>
        </w:rPr>
        <w:t>–</w:t>
      </w:r>
      <w:r>
        <w:rPr>
          <w:rFonts w:ascii="Times New Roman" w:hAnsi="Times New Roman"/>
          <w:sz w:val="28"/>
          <w:szCs w:val="28"/>
        </w:rPr>
        <w:t> данные о техническом состоянии источников тепловой энергии и тепловых сетей;</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color w:val="0D0D0D"/>
          <w:sz w:val="28"/>
          <w:szCs w:val="44"/>
        </w:rPr>
        <w:t>–</w:t>
      </w:r>
      <w:r>
        <w:rPr>
          <w:rFonts w:ascii="Times New Roman" w:hAnsi="Times New Roman"/>
          <w:sz w:val="28"/>
          <w:szCs w:val="28"/>
        </w:rPr>
        <w:t> сведения о режимах потребления и уровне потерь тепловой энергии</w:t>
      </w:r>
    </w:p>
    <w:p>
      <w:pPr>
        <w:sectPr>
          <w:type w:val="nextColumn"/>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spacing w:after="0"/>
        <w:rPr>
          <w:rFonts w:ascii="Times New Roman" w:hAnsi="Times New Roman" w:cs="Times New Roman"/>
          <w:b/>
          <w:sz w:val="28"/>
          <w:szCs w:val="28"/>
        </w:rPr>
      </w:pPr>
    </w:p>
    <w:p>
      <w:pPr>
        <w:spacing w:before="240" w:after="0" w:line="240" w:lineRule="auto"/>
        <w:jc w:val="both"/>
        <w:rPr>
          <w:rFonts w:ascii="Times New Roman" w:hAnsi="Times New Roman"/>
          <w:b/>
          <w:sz w:val="28"/>
          <w:szCs w:val="28"/>
        </w:rPr>
      </w:pPr>
      <w:r>
        <w:rPr>
          <w:rFonts w:ascii="Times New Roman" w:hAnsi="Times New Roman"/>
          <w:b/>
          <w:bCs/>
          <w:sz w:val="28"/>
          <w:szCs w:val="28"/>
        </w:rPr>
        <w:t xml:space="preserve">РАЗДЕЛ 1. ПОКАЗАТЕЛИ ПЕРСПЕКТИВНОГО СПРОСА НА ТЕПЛОВУЮ ЭНЕРГИЮ (МОЩНОСТЬ) И ТЕПЛОНОСИТЕЛЬ В УСТАНОВЛЕННЫХ ГРАНИЦАХ ТЕРРИТОРИИ </w:t>
      </w:r>
      <w:r>
        <w:rPr>
          <w:rFonts w:ascii="Times New Roman" w:hAnsi="Times New Roman"/>
          <w:b/>
          <w:sz w:val="28"/>
          <w:szCs w:val="28"/>
        </w:rPr>
        <w:t xml:space="preserve">ПОСЕЛЕНИЯ </w:t>
      </w:r>
    </w:p>
    <w:p>
      <w:pPr>
        <w:spacing w:after="0"/>
        <w:jc w:val="both"/>
        <w:rPr>
          <w:rFonts w:ascii="Times New Roman" w:hAnsi="Times New Roman" w:cs="Times New Roman"/>
          <w:sz w:val="28"/>
          <w:szCs w:val="28"/>
        </w:rPr>
      </w:pPr>
    </w:p>
    <w:p>
      <w:pPr>
        <w:autoSpaceDE w:val="0"/>
        <w:autoSpaceDN w:val="0"/>
        <w:adjustRightInd w:val="0"/>
        <w:spacing w:after="0" w:line="360" w:lineRule="auto"/>
        <w:ind w:firstLine="709"/>
        <w:jc w:val="both"/>
        <w:rPr>
          <w:rFonts w:ascii="Times New Roman" w:hAnsi="Times New Roman"/>
          <w:sz w:val="28"/>
        </w:rPr>
      </w:pPr>
      <w:r>
        <w:rPr>
          <w:rFonts w:ascii="Times New Roman" w:hAnsi="Times New Roman"/>
          <w:sz w:val="28"/>
        </w:rPr>
        <w:t xml:space="preserve">Теплоснабжение осуществляется от отопительных водогрейных котельной в с. </w:t>
      </w:r>
      <w:proofErr w:type="spellStart"/>
      <w:r>
        <w:rPr>
          <w:rFonts w:ascii="Times New Roman" w:hAnsi="Times New Roman"/>
          <w:sz w:val="28"/>
        </w:rPr>
        <w:t>Тигрицкое</w:t>
      </w:r>
      <w:proofErr w:type="spellEnd"/>
      <w:r>
        <w:rPr>
          <w:rFonts w:ascii="Times New Roman" w:hAnsi="Times New Roman"/>
          <w:sz w:val="28"/>
        </w:rPr>
        <w:t xml:space="preserve">, работающая на буром угле. Котельная снабжает </w:t>
      </w:r>
      <w:proofErr w:type="gramStart"/>
      <w:r>
        <w:rPr>
          <w:rFonts w:ascii="Times New Roman" w:hAnsi="Times New Roman"/>
          <w:sz w:val="28"/>
        </w:rPr>
        <w:t>теплом  ж</w:t>
      </w:r>
      <w:proofErr w:type="gramEnd"/>
      <w:r>
        <w:rPr>
          <w:rFonts w:ascii="Times New Roman" w:hAnsi="Times New Roman"/>
          <w:sz w:val="28"/>
        </w:rPr>
        <w:t>/д, административные здания. Отопление прочей застройки – печное.</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Объекты потребления тепловой энергии (мощности) и теплоносителя от муниципальной котельной в производственной зоне на территории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отсутствуют. Возможное изменение производственных зон и их перепрофилирование не предусматривается. Приросты потребления тепловой энергии (мощности), теплоносителя производственными объектами отсутствуют. </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Существующий источник теплоснабжения находятся в пределах одного населенного пункта с. </w:t>
      </w:r>
      <w:proofErr w:type="spellStart"/>
      <w:r>
        <w:rPr>
          <w:rFonts w:ascii="Times New Roman" w:hAnsi="Times New Roman"/>
          <w:sz w:val="28"/>
          <w:szCs w:val="28"/>
        </w:rPr>
        <w:t>Тигрицкое</w:t>
      </w:r>
      <w:proofErr w:type="spellEnd"/>
      <w:r>
        <w:rPr>
          <w:rFonts w:ascii="Times New Roman" w:hAnsi="Times New Roman"/>
          <w:sz w:val="28"/>
          <w:szCs w:val="28"/>
        </w:rPr>
        <w:t>.</w:t>
      </w:r>
    </w:p>
    <w:p>
      <w:pPr>
        <w:shd w:val="clear" w:color="auto" w:fill="FFFFFF"/>
        <w:spacing w:after="30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Средневзвешенная плотность тепловой нагрузки должна определяться как частное от деления расчетной тепловой нагрузки потребителей, присоединенных к тепловым сетям системы теплоснабжения, на площадь зоны действия системы теплоснабжения по формуле:</w:t>
      </w:r>
    </w:p>
    <w:p>
      <w:pPr>
        <w:shd w:val="clear" w:color="auto" w:fill="FFFFFF"/>
        <w:spacing w:after="0" w:line="360" w:lineRule="auto"/>
        <w:ind w:firstLine="709"/>
        <w:jc w:val="center"/>
        <w:rPr>
          <w:rFonts w:ascii="Times New Roman" w:eastAsia="Times New Roman" w:hAnsi="Times New Roman" w:cs="Times New Roman"/>
          <w:color w:val="000000"/>
          <w:sz w:val="36"/>
          <w:szCs w:val="36"/>
          <w:lang w:eastAsia="ru-RU"/>
        </w:rPr>
      </w:pPr>
      <m:oMath>
        <m:sSub>
          <m:sSubPr>
            <m:ctrlPr>
              <w:rPr>
                <w:rFonts w:ascii="Cambria Math" w:eastAsia="Times New Roman" w:hAnsi="Cambria Math" w:cs="Times New Roman"/>
                <w:i/>
                <w:color w:val="000000"/>
                <w:sz w:val="36"/>
                <w:szCs w:val="36"/>
                <w:lang w:eastAsia="ru-RU"/>
              </w:rPr>
            </m:ctrlPr>
          </m:sSubPr>
          <m:e>
            <m:r>
              <w:rPr>
                <w:rFonts w:ascii="Cambria Math" w:eastAsia="Times New Roman" w:hAnsi="Cambria Math" w:cs="Times New Roman"/>
                <w:color w:val="000000"/>
                <w:sz w:val="36"/>
                <w:szCs w:val="36"/>
                <w:lang w:val="en-US" w:eastAsia="ru-RU"/>
              </w:rPr>
              <m:t>q</m:t>
            </m:r>
          </m:e>
          <m:sub>
            <m:r>
              <w:rPr>
                <w:rFonts w:ascii="Cambria Math" w:eastAsia="Times New Roman" w:hAnsi="Cambria Math" w:cs="Times New Roman"/>
                <w:color w:val="000000"/>
                <w:sz w:val="36"/>
                <w:szCs w:val="36"/>
                <w:lang w:eastAsia="ru-RU"/>
              </w:rPr>
              <m:t>j,A</m:t>
            </m:r>
          </m:sub>
        </m:sSub>
      </m:oMath>
      <w:r>
        <w:rPr>
          <w:rFonts w:ascii="Times New Roman" w:eastAsia="Times New Roman" w:hAnsi="Times New Roman" w:cs="Times New Roman"/>
          <w:color w:val="000000"/>
          <w:sz w:val="36"/>
          <w:szCs w:val="36"/>
          <w:lang w:eastAsia="ru-RU"/>
        </w:rPr>
        <w:t>=</w:t>
      </w:r>
      <m:oMath>
        <m:f>
          <m:fPr>
            <m:ctrlPr>
              <w:rPr>
                <w:rFonts w:ascii="Cambria Math" w:eastAsia="Times New Roman" w:hAnsi="Cambria Math" w:cs="Times New Roman"/>
                <w:i/>
                <w:color w:val="000000"/>
                <w:sz w:val="36"/>
                <w:szCs w:val="36"/>
                <w:lang w:val="en-US" w:eastAsia="ru-RU"/>
              </w:rPr>
            </m:ctrlPr>
          </m:fPr>
          <m:num>
            <m:sSubSup>
              <m:sSubSupPr>
                <m:ctrlPr>
                  <w:rPr>
                    <w:rFonts w:ascii="Cambria Math" w:eastAsia="Times New Roman" w:hAnsi="Cambria Math" w:cs="Times New Roman"/>
                    <w:i/>
                    <w:color w:val="000000"/>
                    <w:sz w:val="36"/>
                    <w:szCs w:val="36"/>
                    <w:lang w:val="en-US" w:eastAsia="ru-RU"/>
                  </w:rPr>
                </m:ctrlPr>
              </m:sSubSupPr>
              <m:e>
                <m:r>
                  <w:rPr>
                    <w:rFonts w:ascii="Cambria Math" w:eastAsia="Times New Roman" w:hAnsi="Cambria Math" w:cs="Times New Roman"/>
                    <w:color w:val="000000"/>
                    <w:sz w:val="36"/>
                    <w:szCs w:val="36"/>
                    <w:lang w:val="en-US" w:eastAsia="ru-RU"/>
                  </w:rPr>
                  <m:t>Q</m:t>
                </m:r>
              </m:e>
              <m:sub>
                <m:r>
                  <w:rPr>
                    <w:rFonts w:ascii="Cambria Math" w:eastAsia="Times New Roman" w:hAnsi="Cambria Math" w:cs="Times New Roman"/>
                    <w:color w:val="000000"/>
                    <w:sz w:val="36"/>
                    <w:szCs w:val="36"/>
                    <w:lang w:eastAsia="ru-RU"/>
                  </w:rPr>
                  <m:t>j,A</m:t>
                </m:r>
              </m:sub>
              <m:sup>
                <m:r>
                  <w:rPr>
                    <w:rFonts w:ascii="Cambria Math" w:eastAsia="Times New Roman" w:hAnsi="Cambria Math" w:cs="Times New Roman"/>
                    <w:color w:val="000000"/>
                    <w:sz w:val="36"/>
                    <w:szCs w:val="36"/>
                    <w:lang w:val="en-US" w:eastAsia="ru-RU"/>
                  </w:rPr>
                  <m:t>F</m:t>
                </m:r>
              </m:sup>
            </m:sSubSup>
          </m:num>
          <m:den>
            <m:sSub>
              <m:sSubPr>
                <m:ctrlPr>
                  <w:rPr>
                    <w:rFonts w:ascii="Cambria Math" w:eastAsia="Times New Roman" w:hAnsi="Cambria Math" w:cs="Times New Roman"/>
                    <w:i/>
                    <w:color w:val="000000"/>
                    <w:sz w:val="36"/>
                    <w:szCs w:val="36"/>
                    <w:lang w:val="en-US" w:eastAsia="ru-RU"/>
                  </w:rPr>
                </m:ctrlPr>
              </m:sSubPr>
              <m:e>
                <m:r>
                  <w:rPr>
                    <w:rFonts w:ascii="Cambria Math" w:eastAsia="Times New Roman" w:hAnsi="Cambria Math" w:cs="Times New Roman"/>
                    <w:color w:val="000000"/>
                    <w:sz w:val="36"/>
                    <w:szCs w:val="36"/>
                    <w:lang w:val="en-US" w:eastAsia="ru-RU"/>
                  </w:rPr>
                  <m:t>F</m:t>
                </m:r>
              </m:e>
              <m:sub>
                <m:r>
                  <w:rPr>
                    <w:rFonts w:ascii="Cambria Math" w:eastAsia="Times New Roman" w:hAnsi="Cambria Math" w:cs="Times New Roman"/>
                    <w:color w:val="000000"/>
                    <w:sz w:val="36"/>
                    <w:szCs w:val="36"/>
                    <w:lang w:eastAsia="ru-RU"/>
                  </w:rPr>
                  <m:t>j,A</m:t>
                </m:r>
              </m:sub>
            </m:sSub>
          </m:den>
        </m:f>
      </m:oMath>
    </w:p>
    <w:p>
      <w:pPr>
        <w:shd w:val="clear" w:color="auto" w:fill="FFFFFF"/>
        <w:spacing w:after="0" w:line="360" w:lineRule="auto"/>
        <w:jc w:val="both"/>
        <w:rPr>
          <w:rFonts w:ascii="Times New Roman" w:eastAsia="Times New Roman" w:hAnsi="Times New Roman" w:cs="Times New Roman"/>
          <w:color w:val="000000"/>
          <w:sz w:val="28"/>
          <w:szCs w:val="28"/>
          <w:lang w:eastAsia="ru-RU"/>
        </w:rPr>
      </w:pPr>
      <w:bookmarkStart w:id="0" w:name="102466"/>
      <w:bookmarkStart w:id="1" w:name="102467"/>
      <w:bookmarkEnd w:id="0"/>
      <w:bookmarkEnd w:id="1"/>
      <w:proofErr w:type="gramStart"/>
      <w:r>
        <w:rPr>
          <w:rFonts w:ascii="Times New Roman" w:eastAsia="Times New Roman" w:hAnsi="Times New Roman" w:cs="Times New Roman"/>
          <w:color w:val="000000"/>
          <w:sz w:val="28"/>
          <w:szCs w:val="28"/>
          <w:lang w:eastAsia="ru-RU"/>
        </w:rPr>
        <w:t>где</w:t>
      </w:r>
      <w:proofErr w:type="gramEnd"/>
      <w:r>
        <w:rPr>
          <w:rFonts w:ascii="Times New Roman" w:eastAsia="Times New Roman" w:hAnsi="Times New Roman" w:cs="Times New Roman"/>
          <w:color w:val="000000"/>
          <w:sz w:val="28"/>
          <w:szCs w:val="28"/>
          <w:lang w:eastAsia="ru-RU"/>
        </w:rPr>
        <w:t>,</w:t>
      </w:r>
    </w:p>
    <w:bookmarkStart w:id="2" w:name="102468"/>
    <w:bookmarkEnd w:id="2"/>
    <w:p>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m:oMath>
        <m:sSubSup>
          <m:sSubSupPr>
            <m:ctrlPr>
              <w:rPr>
                <w:rFonts w:ascii="Cambria Math" w:eastAsia="Times New Roman" w:hAnsi="Cambria Math" w:cs="Times New Roman"/>
                <w:i/>
                <w:color w:val="000000"/>
                <w:sz w:val="28"/>
                <w:szCs w:val="28"/>
                <w:lang w:val="en-US" w:eastAsia="ru-RU"/>
              </w:rPr>
            </m:ctrlPr>
          </m:sSubSupPr>
          <m:e>
            <m:r>
              <w:rPr>
                <w:rFonts w:ascii="Cambria Math" w:eastAsia="Times New Roman" w:hAnsi="Cambria Math" w:cs="Times New Roman"/>
                <w:color w:val="000000"/>
                <w:sz w:val="28"/>
                <w:szCs w:val="28"/>
                <w:lang w:val="en-US" w:eastAsia="ru-RU"/>
              </w:rPr>
              <m:t>Q</m:t>
            </m:r>
          </m:e>
          <m:sub>
            <m:r>
              <w:rPr>
                <w:rFonts w:ascii="Cambria Math" w:eastAsia="Times New Roman" w:hAnsi="Cambria Math" w:cs="Times New Roman"/>
                <w:color w:val="000000"/>
                <w:sz w:val="28"/>
                <w:szCs w:val="28"/>
                <w:lang w:eastAsia="ru-RU"/>
              </w:rPr>
              <m:t>j,A</m:t>
            </m:r>
          </m:sub>
          <m:sup>
            <m:r>
              <w:rPr>
                <w:rFonts w:ascii="Cambria Math" w:eastAsia="Times New Roman" w:hAnsi="Cambria Math" w:cs="Times New Roman"/>
                <w:color w:val="000000"/>
                <w:sz w:val="28"/>
                <w:szCs w:val="28"/>
                <w:lang w:val="en-US" w:eastAsia="ru-RU"/>
              </w:rPr>
              <m:t>F</m:t>
            </m:r>
          </m:sup>
        </m:sSubSup>
      </m:oMath>
      <w:r>
        <w:rPr>
          <w:rFonts w:ascii="Times New Roman" w:eastAsia="Times New Roman" w:hAnsi="Times New Roman" w:cs="Times New Roman"/>
          <w:color w:val="000000"/>
          <w:sz w:val="28"/>
          <w:szCs w:val="28"/>
          <w:lang w:eastAsia="ru-RU"/>
        </w:rPr>
        <w:t> – суммарная тепловая нагрузка в зоне действия j-того источника тепловой энергии (системы теплоснабжения) в ретроспективный период, (Гкал/ч);</w:t>
      </w:r>
    </w:p>
    <w:bookmarkStart w:id="3" w:name="102469"/>
    <w:bookmarkEnd w:id="3"/>
    <w:p>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m:oMath>
        <m:sSub>
          <m:sSubPr>
            <m:ctrlPr>
              <w:rPr>
                <w:rFonts w:ascii="Cambria Math" w:eastAsia="Times New Roman" w:hAnsi="Cambria Math" w:cs="Times New Roman"/>
                <w:i/>
                <w:color w:val="000000"/>
                <w:sz w:val="28"/>
                <w:szCs w:val="28"/>
                <w:lang w:val="en-US" w:eastAsia="ru-RU"/>
              </w:rPr>
            </m:ctrlPr>
          </m:sSubPr>
          <m:e>
            <m:r>
              <w:rPr>
                <w:rFonts w:ascii="Cambria Math" w:eastAsia="Times New Roman" w:hAnsi="Cambria Math" w:cs="Times New Roman"/>
                <w:color w:val="000000"/>
                <w:sz w:val="28"/>
                <w:szCs w:val="28"/>
                <w:lang w:val="en-US" w:eastAsia="ru-RU"/>
              </w:rPr>
              <m:t>F</m:t>
            </m:r>
          </m:e>
          <m:sub>
            <m:r>
              <w:rPr>
                <w:rFonts w:ascii="Cambria Math" w:eastAsia="Times New Roman" w:hAnsi="Cambria Math" w:cs="Times New Roman"/>
                <w:color w:val="000000"/>
                <w:sz w:val="28"/>
                <w:szCs w:val="28"/>
                <w:lang w:eastAsia="ru-RU"/>
              </w:rPr>
              <m:t>j,A</m:t>
            </m:r>
          </m:sub>
        </m:sSub>
      </m:oMath>
      <w:r>
        <w:rPr>
          <w:rFonts w:ascii="Times New Roman" w:eastAsia="Times New Roman" w:hAnsi="Times New Roman" w:cs="Times New Roman"/>
          <w:color w:val="000000"/>
          <w:sz w:val="28"/>
          <w:szCs w:val="28"/>
          <w:lang w:eastAsia="ru-RU"/>
        </w:rPr>
        <w:t xml:space="preserve"> – площадь зоны действия j-того источника тепловой энергии, установленной по конечным точкам тепловых сетей, обеспечивающих </w:t>
      </w:r>
      <w:r>
        <w:rPr>
          <w:rFonts w:ascii="Times New Roman" w:eastAsia="Times New Roman" w:hAnsi="Times New Roman" w:cs="Times New Roman"/>
          <w:color w:val="000000"/>
          <w:sz w:val="28"/>
          <w:szCs w:val="28"/>
          <w:lang w:eastAsia="ru-RU"/>
        </w:rPr>
        <w:lastRenderedPageBreak/>
        <w:t>циркуляцию теплоносителя для передачи тепловой энергии от источника к потребителю, (га);</w:t>
      </w:r>
    </w:p>
    <w:p>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bookmarkStart w:id="4" w:name="102470"/>
      <w:bookmarkEnd w:id="4"/>
      <w:r>
        <w:rPr>
          <w:rFonts w:ascii="Times New Roman" w:eastAsia="Times New Roman" w:hAnsi="Times New Roman" w:cs="Times New Roman"/>
          <w:color w:val="000000"/>
          <w:sz w:val="28"/>
          <w:szCs w:val="28"/>
          <w:lang w:eastAsia="ru-RU"/>
        </w:rPr>
        <w:t>A – год актуализации схемы теплоснабжения.</w:t>
      </w:r>
    </w:p>
    <w:p>
      <w:pPr>
        <w:shd w:val="clear" w:color="auto" w:fill="FFFFFF"/>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i/>
          <w:sz w:val="28"/>
          <w:szCs w:val="28"/>
          <w:lang w:eastAsia="ru-RU"/>
        </w:rPr>
        <w:t>Таблица – Величина существующей средневзвешенной плотности тепловой нагрузки в каждом расчетном элементе территориального деления</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0"/>
        <w:gridCol w:w="2375"/>
        <w:gridCol w:w="2374"/>
        <w:gridCol w:w="2353"/>
      </w:tblGrid>
      <w:tr>
        <w:trPr>
          <w:trHeight w:val="156"/>
        </w:trPr>
        <w:tc>
          <w:tcPr>
            <w:tcW w:w="2530" w:type="dxa"/>
            <w:shd w:val="clear" w:color="auto" w:fill="C5E0B3" w:themeFill="accent6" w:themeFillTint="66"/>
            <w:vAlign w:val="center"/>
          </w:tcPr>
          <w:p>
            <w:pPr>
              <w:spacing w:after="0" w:line="240" w:lineRule="auto"/>
              <w:contextualSpacing/>
              <w:jc w:val="center"/>
              <w:rPr>
                <w:rFonts w:ascii="Times New Roman" w:hAnsi="Times New Roman"/>
                <w:i/>
                <w:sz w:val="18"/>
                <w:szCs w:val="18"/>
              </w:rPr>
            </w:pPr>
            <w:r>
              <w:rPr>
                <w:rFonts w:ascii="Times New Roman" w:eastAsia="Times New Roman,Bold" w:hAnsi="Times New Roman"/>
                <w:b/>
                <w:bCs/>
                <w:i/>
                <w:sz w:val="18"/>
                <w:szCs w:val="18"/>
              </w:rPr>
              <w:t>Квартал</w:t>
            </w:r>
          </w:p>
        </w:tc>
        <w:tc>
          <w:tcPr>
            <w:tcW w:w="2375" w:type="dxa"/>
            <w:shd w:val="clear" w:color="auto" w:fill="C5E0B3" w:themeFill="accent6" w:themeFillTint="66"/>
            <w:vAlign w:val="center"/>
          </w:tcPr>
          <w:p>
            <w:pPr>
              <w:spacing w:after="0" w:line="240" w:lineRule="auto"/>
              <w:contextualSpacing/>
              <w:jc w:val="center"/>
              <w:rPr>
                <w:rFonts w:ascii="Times New Roman" w:eastAsia="Times New Roman,Bold" w:hAnsi="Times New Roman"/>
                <w:b/>
                <w:bCs/>
                <w:i/>
                <w:sz w:val="18"/>
                <w:szCs w:val="18"/>
              </w:rPr>
            </w:pPr>
            <w:r>
              <w:rPr>
                <w:rFonts w:ascii="Times New Roman" w:eastAsia="Times New Roman,Bold" w:hAnsi="Times New Roman"/>
                <w:b/>
                <w:bCs/>
                <w:i/>
                <w:sz w:val="18"/>
                <w:szCs w:val="18"/>
              </w:rPr>
              <w:t>Площадь, (Га)</w:t>
            </w:r>
          </w:p>
        </w:tc>
        <w:tc>
          <w:tcPr>
            <w:tcW w:w="2374" w:type="dxa"/>
            <w:shd w:val="clear" w:color="auto" w:fill="C5E0B3" w:themeFill="accent6" w:themeFillTint="66"/>
            <w:vAlign w:val="center"/>
          </w:tcPr>
          <w:p>
            <w:pPr>
              <w:spacing w:after="0" w:line="240" w:lineRule="auto"/>
              <w:contextualSpacing/>
              <w:jc w:val="center"/>
              <w:rPr>
                <w:rFonts w:ascii="Times New Roman" w:hAnsi="Times New Roman"/>
                <w:i/>
                <w:sz w:val="18"/>
                <w:szCs w:val="18"/>
              </w:rPr>
            </w:pPr>
            <w:r>
              <w:rPr>
                <w:rFonts w:ascii="Times New Roman" w:eastAsia="Times New Roman,Bold" w:hAnsi="Times New Roman"/>
                <w:b/>
                <w:bCs/>
                <w:i/>
                <w:sz w:val="18"/>
                <w:szCs w:val="18"/>
              </w:rPr>
              <w:t xml:space="preserve">Значение </w:t>
            </w:r>
            <w:proofErr w:type="spellStart"/>
            <w:r>
              <w:rPr>
                <w:rFonts w:ascii="Times New Roman" w:eastAsia="Times New Roman,Bold" w:hAnsi="Times New Roman"/>
                <w:b/>
                <w:bCs/>
                <w:i/>
                <w:sz w:val="18"/>
                <w:szCs w:val="18"/>
              </w:rPr>
              <w:t>нагр</w:t>
            </w:r>
            <w:proofErr w:type="spellEnd"/>
            <w:r>
              <w:rPr>
                <w:rFonts w:ascii="Times New Roman" w:eastAsia="Times New Roman,Bold" w:hAnsi="Times New Roman"/>
                <w:b/>
                <w:bCs/>
                <w:i/>
                <w:sz w:val="18"/>
                <w:szCs w:val="18"/>
              </w:rPr>
              <w:t>. (Гкал/ч.)</w:t>
            </w:r>
          </w:p>
        </w:tc>
        <w:tc>
          <w:tcPr>
            <w:tcW w:w="2353" w:type="dxa"/>
            <w:shd w:val="clear" w:color="auto" w:fill="C5E0B3" w:themeFill="accent6" w:themeFillTint="66"/>
            <w:vAlign w:val="center"/>
          </w:tcPr>
          <w:p>
            <w:pPr>
              <w:spacing w:after="0" w:line="240" w:lineRule="auto"/>
              <w:contextualSpacing/>
              <w:jc w:val="center"/>
              <w:rPr>
                <w:rFonts w:ascii="Times New Roman" w:eastAsia="Times New Roman,Bold" w:hAnsi="Times New Roman"/>
                <w:b/>
                <w:bCs/>
                <w:i/>
                <w:sz w:val="18"/>
                <w:szCs w:val="18"/>
              </w:rPr>
            </w:pPr>
            <m:oMathPara>
              <m:oMath>
                <m:sSub>
                  <m:sSubPr>
                    <m:ctrlPr>
                      <w:rPr>
                        <w:rFonts w:ascii="Cambria Math" w:eastAsia="Times New Roman" w:hAnsi="Cambria Math"/>
                        <w:b/>
                        <w:i/>
                        <w:color w:val="000000"/>
                        <w:sz w:val="18"/>
                        <w:szCs w:val="18"/>
                        <w:lang w:eastAsia="ru-RU"/>
                      </w:rPr>
                    </m:ctrlPr>
                  </m:sSubPr>
                  <m:e>
                    <m:r>
                      <m:rPr>
                        <m:sty m:val="bi"/>
                      </m:rPr>
                      <w:rPr>
                        <w:rFonts w:ascii="Cambria Math" w:hAnsi="Cambria Math"/>
                        <w:color w:val="000000"/>
                        <w:sz w:val="18"/>
                        <w:szCs w:val="18"/>
                        <w:lang w:val="en-US"/>
                      </w:rPr>
                      <m:t>q</m:t>
                    </m:r>
                  </m:e>
                  <m:sub>
                    <m:r>
                      <m:rPr>
                        <m:sty m:val="bi"/>
                      </m:rPr>
                      <w:rPr>
                        <w:rFonts w:ascii="Cambria Math" w:hAnsi="Cambria Math"/>
                        <w:color w:val="000000"/>
                        <w:sz w:val="18"/>
                        <w:szCs w:val="18"/>
                      </w:rPr>
                      <m:t>j,A</m:t>
                    </m:r>
                  </m:sub>
                </m:sSub>
              </m:oMath>
            </m:oMathPara>
          </w:p>
        </w:tc>
      </w:tr>
      <w:tr>
        <w:trPr>
          <w:trHeight w:val="85"/>
        </w:trPr>
        <w:tc>
          <w:tcPr>
            <w:tcW w:w="9632" w:type="dxa"/>
            <w:gridSpan w:val="4"/>
            <w:shd w:val="clear" w:color="auto" w:fill="C5E0B3" w:themeFill="accent6" w:themeFillTint="66"/>
            <w:vAlign w:val="center"/>
          </w:tcPr>
          <w:p>
            <w:pPr>
              <w:spacing w:after="0" w:line="240" w:lineRule="auto"/>
              <w:contextualSpacing/>
              <w:jc w:val="center"/>
              <w:rPr>
                <w:rFonts w:ascii="Times New Roman" w:hAnsi="Times New Roman"/>
                <w:b/>
                <w:i/>
                <w:sz w:val="18"/>
                <w:szCs w:val="18"/>
              </w:rPr>
            </w:pPr>
            <w:r>
              <w:rPr>
                <w:rFonts w:ascii="Times New Roman" w:hAnsi="Times New Roman"/>
                <w:b/>
                <w:i/>
                <w:sz w:val="18"/>
                <w:szCs w:val="18"/>
              </w:rPr>
              <w:t>Котельная</w:t>
            </w:r>
          </w:p>
        </w:tc>
      </w:tr>
      <w:tr>
        <w:trPr>
          <w:trHeight w:val="90"/>
        </w:trPr>
        <w:tc>
          <w:tcPr>
            <w:tcW w:w="2530" w:type="dxa"/>
            <w:vAlign w:val="center"/>
          </w:tcPr>
          <w:p>
            <w:pPr>
              <w:spacing w:after="0" w:line="240" w:lineRule="auto"/>
              <w:contextualSpacing/>
              <w:jc w:val="center"/>
              <w:rPr>
                <w:rFonts w:ascii="Times New Roman" w:hAnsi="Times New Roman"/>
                <w:sz w:val="18"/>
                <w:szCs w:val="18"/>
              </w:rPr>
            </w:pPr>
            <w:r>
              <w:rPr>
                <w:rFonts w:ascii="Times New Roman" w:hAnsi="Times New Roman"/>
                <w:sz w:val="18"/>
                <w:szCs w:val="18"/>
              </w:rPr>
              <w:t>24:25:5101001:1340</w:t>
            </w:r>
          </w:p>
        </w:tc>
        <w:tc>
          <w:tcPr>
            <w:tcW w:w="2375" w:type="dxa"/>
            <w:vAlign w:val="center"/>
          </w:tcPr>
          <w:p>
            <w:pPr>
              <w:spacing w:after="0" w:line="240" w:lineRule="auto"/>
              <w:contextualSpacing/>
              <w:jc w:val="center"/>
              <w:rPr>
                <w:rFonts w:ascii="Times New Roman" w:hAnsi="Times New Roman"/>
                <w:sz w:val="18"/>
                <w:szCs w:val="18"/>
              </w:rPr>
            </w:pPr>
            <w:r>
              <w:rPr>
                <w:rFonts w:ascii="Times New Roman" w:hAnsi="Times New Roman"/>
                <w:sz w:val="18"/>
                <w:szCs w:val="18"/>
              </w:rPr>
              <w:t>25,383</w:t>
            </w:r>
          </w:p>
        </w:tc>
        <w:tc>
          <w:tcPr>
            <w:tcW w:w="2374" w:type="dxa"/>
            <w:vAlign w:val="center"/>
          </w:tcPr>
          <w:p>
            <w:pPr>
              <w:spacing w:after="0" w:line="240" w:lineRule="auto"/>
              <w:contextualSpacing/>
              <w:jc w:val="center"/>
              <w:rPr>
                <w:rFonts w:ascii="Times New Roman" w:hAnsi="Times New Roman"/>
                <w:sz w:val="18"/>
                <w:szCs w:val="18"/>
              </w:rPr>
            </w:pPr>
            <w:r>
              <w:rPr>
                <w:rFonts w:ascii="Times New Roman" w:hAnsi="Times New Roman"/>
                <w:sz w:val="18"/>
                <w:szCs w:val="18"/>
              </w:rPr>
              <w:t>0,76</w:t>
            </w:r>
          </w:p>
        </w:tc>
        <w:tc>
          <w:tcPr>
            <w:tcW w:w="2353" w:type="dxa"/>
            <w:vAlign w:val="center"/>
          </w:tcPr>
          <w:p>
            <w:pPr>
              <w:spacing w:after="0" w:line="240" w:lineRule="auto"/>
              <w:contextualSpacing/>
              <w:jc w:val="center"/>
              <w:rPr>
                <w:rFonts w:ascii="Times New Roman" w:hAnsi="Times New Roman"/>
                <w:sz w:val="18"/>
                <w:szCs w:val="18"/>
              </w:rPr>
            </w:pPr>
            <w:r>
              <w:rPr>
                <w:rFonts w:ascii="Times New Roman" w:hAnsi="Times New Roman"/>
                <w:sz w:val="18"/>
                <w:szCs w:val="18"/>
              </w:rPr>
              <w:t>0,029</w:t>
            </w:r>
          </w:p>
        </w:tc>
      </w:tr>
    </w:tbl>
    <w:p>
      <w:pPr>
        <w:rPr>
          <w:rFonts w:ascii="Times New Roman" w:hAnsi="Times New Roman"/>
          <w:sz w:val="28"/>
        </w:rPr>
        <w:sectPr>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jc w:val="both"/>
        <w:rPr>
          <w:rFonts w:ascii="Times New Roman" w:hAnsi="Times New Roman" w:cs="Times New Roman"/>
          <w:sz w:val="28"/>
          <w:szCs w:val="28"/>
        </w:rPr>
      </w:pPr>
    </w:p>
    <w:p>
      <w:pPr>
        <w:autoSpaceDE w:val="0"/>
        <w:autoSpaceDN w:val="0"/>
        <w:adjustRightInd w:val="0"/>
        <w:spacing w:line="240" w:lineRule="auto"/>
        <w:jc w:val="both"/>
        <w:rPr>
          <w:rFonts w:ascii="Times New Roman" w:eastAsia="Times New Roman,Bold" w:hAnsi="Times New Roman" w:cs="Times New Roman"/>
          <w:b/>
          <w:bCs/>
          <w:sz w:val="28"/>
          <w:szCs w:val="28"/>
        </w:rPr>
      </w:pPr>
      <w:r>
        <w:rPr>
          <w:rFonts w:ascii="Times New Roman" w:hAnsi="Times New Roman" w:cs="Times New Roman"/>
          <w:sz w:val="28"/>
          <w:szCs w:val="28"/>
        </w:rPr>
        <w:tab/>
      </w:r>
      <w:r>
        <w:rPr>
          <w:rFonts w:ascii="Times New Roman" w:eastAsia="Times New Roman,Bold" w:hAnsi="Times New Roman" w:cs="Times New Roman"/>
          <w:b/>
          <w:bCs/>
          <w:sz w:val="28"/>
          <w:szCs w:val="28"/>
        </w:rPr>
        <w:t>ГЛАВА 2. СУЩЕСТВУЮЩЕЕ И ПЕРСПЕКТИВНОЕ ПОТРЕБЛЕНИЕ ТЕПЛОВОЙ ЭНЕРГИИ НА ЦЕЛИ ТЕПЛОСНАБЖЕНИЯ</w:t>
      </w:r>
    </w:p>
    <w:p>
      <w:pPr>
        <w:autoSpaceDE w:val="0"/>
        <w:autoSpaceDN w:val="0"/>
        <w:adjustRightInd w:val="0"/>
        <w:spacing w:line="240" w:lineRule="auto"/>
        <w:jc w:val="both"/>
        <w:rPr>
          <w:rFonts w:ascii="Times New Roman" w:eastAsia="Times New Roman,Bold" w:hAnsi="Times New Roman" w:cs="Times New Roman"/>
          <w:b/>
          <w:bCs/>
          <w:sz w:val="28"/>
          <w:szCs w:val="28"/>
        </w:rPr>
      </w:pPr>
    </w:p>
    <w:p>
      <w:pPr>
        <w:spacing w:after="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Зона действия системы теплоснабжения – это территория поселения,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pPr>
        <w:spacing w:after="0" w:line="360" w:lineRule="auto"/>
        <w:ind w:firstLine="567"/>
        <w:jc w:val="both"/>
        <w:rPr>
          <w:rFonts w:ascii="Times New Roman" w:hAnsi="Times New Roman"/>
          <w:sz w:val="28"/>
          <w:szCs w:val="28"/>
        </w:rPr>
      </w:pPr>
      <w:r>
        <w:rPr>
          <w:rFonts w:ascii="Times New Roman" w:hAnsi="Times New Roman"/>
          <w:sz w:val="28"/>
          <w:szCs w:val="28"/>
        </w:rPr>
        <w:fldChar w:fldCharType="begin"/>
      </w:r>
      <w:r>
        <w:rPr>
          <w:rFonts w:ascii="Times New Roman" w:hAnsi="Times New Roman"/>
          <w:sz w:val="28"/>
          <w:szCs w:val="28"/>
        </w:rPr>
        <w:instrText xml:space="preserve"> LINK Excel.Sheet.8 "D:\\Кореновский район\\Кореновское ГП\\ST.xls" Заг!R95C1 \a \f 5 \h  \* MERGEFORMAT </w:instrText>
      </w:r>
      <w:r>
        <w:rPr>
          <w:rFonts w:ascii="Times New Roman" w:hAnsi="Times New Roman"/>
          <w:sz w:val="28"/>
          <w:szCs w:val="28"/>
        </w:rPr>
        <w:fldChar w:fldCharType="separate"/>
      </w:r>
      <w:r>
        <w:rPr>
          <w:rFonts w:ascii="Times New Roman" w:hAnsi="Times New Roman"/>
          <w:sz w:val="28"/>
          <w:szCs w:val="28"/>
        </w:rPr>
        <w:t>Существующая зона действия систем теплоснабжения рассматриваемого поселения представлена в основном одно и малоэтажной застройкой. Схема теплоснабжения – закрытая. Тепловые сети представлены подземной прокладкой.</w:t>
      </w:r>
    </w:p>
    <w:p>
      <w:pPr>
        <w:spacing w:after="0" w:line="360" w:lineRule="auto"/>
        <w:ind w:firstLine="567"/>
        <w:jc w:val="both"/>
        <w:rPr>
          <w:rFonts w:ascii="Times New Roman" w:hAnsi="Times New Roman"/>
          <w:sz w:val="28"/>
          <w:szCs w:val="28"/>
        </w:rPr>
      </w:pPr>
      <w:r>
        <w:rPr>
          <w:rFonts w:ascii="Times New Roman" w:hAnsi="Times New Roman"/>
          <w:sz w:val="28"/>
          <w:szCs w:val="28"/>
        </w:rPr>
        <w:fldChar w:fldCharType="end"/>
      </w:r>
      <w:r>
        <w:rPr>
          <w:rFonts w:ascii="Times New Roman" w:hAnsi="Times New Roman"/>
          <w:sz w:val="28"/>
          <w:szCs w:val="28"/>
        </w:rPr>
        <w:t xml:space="preserve">Перспективные зоны действия систем теплоснабжения состоят из существующей зоны при выборочной её застройке. </w:t>
      </w:r>
    </w:p>
    <w:tbl>
      <w:tblPr>
        <w:tblpPr w:leftFromText="180" w:rightFromText="180" w:vertAnchor="text" w:horzAnchor="margin" w:tblpX="108" w:tblpY="37"/>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2"/>
        <w:gridCol w:w="3560"/>
        <w:gridCol w:w="2564"/>
        <w:gridCol w:w="3104"/>
      </w:tblGrid>
      <w:tr>
        <w:trPr>
          <w:trHeight w:hRule="exact" w:val="481"/>
        </w:trPr>
        <w:tc>
          <w:tcPr>
            <w:tcW w:w="422" w:type="dxa"/>
            <w:shd w:val="clear" w:color="auto" w:fill="C5E0B3" w:themeFill="accent6" w:themeFillTint="66"/>
            <w:vAlign w:val="center"/>
          </w:tcPr>
          <w:p>
            <w:pPr>
              <w:spacing w:after="0" w:line="240" w:lineRule="auto"/>
              <w:jc w:val="center"/>
              <w:rPr>
                <w:rFonts w:ascii="Times New Roman" w:hAnsi="Times New Roman"/>
                <w:b/>
                <w:i/>
                <w:color w:val="000000"/>
                <w:sz w:val="20"/>
                <w:szCs w:val="20"/>
              </w:rPr>
            </w:pPr>
            <w:r>
              <w:rPr>
                <w:rFonts w:ascii="Times New Roman" w:hAnsi="Times New Roman"/>
                <w:b/>
                <w:i/>
                <w:color w:val="000000"/>
                <w:sz w:val="20"/>
                <w:szCs w:val="20"/>
              </w:rPr>
              <w:t>№</w:t>
            </w:r>
          </w:p>
        </w:tc>
        <w:tc>
          <w:tcPr>
            <w:tcW w:w="3560" w:type="dxa"/>
            <w:shd w:val="clear" w:color="auto" w:fill="C5E0B3" w:themeFill="accent6" w:themeFillTint="66"/>
            <w:vAlign w:val="center"/>
          </w:tcPr>
          <w:p>
            <w:pPr>
              <w:spacing w:after="0" w:line="240" w:lineRule="auto"/>
              <w:jc w:val="center"/>
              <w:rPr>
                <w:rFonts w:ascii="Times New Roman" w:hAnsi="Times New Roman"/>
                <w:b/>
                <w:i/>
                <w:color w:val="000000"/>
                <w:sz w:val="20"/>
                <w:szCs w:val="20"/>
              </w:rPr>
            </w:pPr>
            <w:r>
              <w:rPr>
                <w:rFonts w:ascii="Times New Roman" w:hAnsi="Times New Roman"/>
                <w:b/>
                <w:i/>
                <w:color w:val="000000"/>
                <w:sz w:val="20"/>
                <w:szCs w:val="20"/>
              </w:rPr>
              <w:t>Наименование котельных</w:t>
            </w:r>
          </w:p>
        </w:tc>
        <w:tc>
          <w:tcPr>
            <w:tcW w:w="2564" w:type="dxa"/>
            <w:shd w:val="clear" w:color="auto" w:fill="C5E0B3" w:themeFill="accent6" w:themeFillTint="66"/>
            <w:vAlign w:val="center"/>
          </w:tcPr>
          <w:p>
            <w:pPr>
              <w:spacing w:after="0" w:line="240" w:lineRule="auto"/>
              <w:jc w:val="center"/>
              <w:rPr>
                <w:rFonts w:ascii="Times New Roman" w:hAnsi="Times New Roman"/>
                <w:b/>
                <w:i/>
                <w:color w:val="000000"/>
                <w:sz w:val="20"/>
                <w:szCs w:val="20"/>
              </w:rPr>
            </w:pPr>
            <w:r>
              <w:rPr>
                <w:rFonts w:ascii="Times New Roman" w:hAnsi="Times New Roman"/>
                <w:b/>
                <w:i/>
                <w:color w:val="000000"/>
                <w:sz w:val="20"/>
                <w:szCs w:val="20"/>
              </w:rPr>
              <w:t>Установленная мощность (Гкал/час)</w:t>
            </w:r>
          </w:p>
        </w:tc>
        <w:tc>
          <w:tcPr>
            <w:tcW w:w="3104" w:type="dxa"/>
            <w:shd w:val="clear" w:color="auto" w:fill="C5E0B3" w:themeFill="accent6" w:themeFillTint="66"/>
            <w:vAlign w:val="center"/>
          </w:tcPr>
          <w:p>
            <w:pPr>
              <w:spacing w:after="0" w:line="240" w:lineRule="auto"/>
              <w:jc w:val="center"/>
              <w:rPr>
                <w:rFonts w:ascii="Times New Roman" w:hAnsi="Times New Roman"/>
                <w:b/>
                <w:i/>
                <w:color w:val="000000"/>
                <w:sz w:val="20"/>
                <w:szCs w:val="20"/>
              </w:rPr>
            </w:pPr>
            <w:proofErr w:type="gramStart"/>
            <w:r>
              <w:rPr>
                <w:rFonts w:ascii="Times New Roman" w:hAnsi="Times New Roman"/>
                <w:b/>
                <w:i/>
                <w:color w:val="000000"/>
                <w:sz w:val="20"/>
                <w:szCs w:val="20"/>
              </w:rPr>
              <w:t>Присоединенная  нагрузка</w:t>
            </w:r>
            <w:proofErr w:type="gramEnd"/>
            <w:r>
              <w:rPr>
                <w:rFonts w:ascii="Times New Roman" w:hAnsi="Times New Roman"/>
                <w:b/>
                <w:i/>
                <w:color w:val="000000"/>
                <w:sz w:val="20"/>
                <w:szCs w:val="20"/>
              </w:rPr>
              <w:t xml:space="preserve"> (потребители),(Гкал/час)</w:t>
            </w:r>
          </w:p>
        </w:tc>
      </w:tr>
      <w:tr>
        <w:trPr>
          <w:trHeight w:hRule="exact" w:val="239"/>
        </w:trPr>
        <w:tc>
          <w:tcPr>
            <w:tcW w:w="422" w:type="dxa"/>
            <w:shd w:val="clear" w:color="auto" w:fill="C5E0B3" w:themeFill="accent6" w:themeFillTint="66"/>
            <w:vAlign w:val="center"/>
          </w:tcPr>
          <w:p>
            <w:pPr>
              <w:spacing w:after="0" w:line="240" w:lineRule="auto"/>
              <w:jc w:val="center"/>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1</w:t>
            </w:r>
          </w:p>
        </w:tc>
        <w:tc>
          <w:tcPr>
            <w:tcW w:w="3560" w:type="dxa"/>
            <w:shd w:val="clear" w:color="auto" w:fill="auto"/>
            <w:vAlign w:val="center"/>
          </w:tcPr>
          <w:p>
            <w:pPr>
              <w:widowControl w:val="0"/>
              <w:tabs>
                <w:tab w:val="left" w:pos="1459"/>
              </w:tabs>
              <w:spacing w:after="0" w:line="240" w:lineRule="auto"/>
              <w:jc w:val="center"/>
              <w:rPr>
                <w:rFonts w:ascii="Times New Roman" w:hAnsi="Times New Roman"/>
                <w:bCs/>
                <w:color w:val="FF0000"/>
                <w:sz w:val="20"/>
                <w:szCs w:val="20"/>
              </w:rPr>
            </w:pPr>
            <w:r>
              <w:rPr>
                <w:rFonts w:ascii="Times New Roman" w:hAnsi="Times New Roman"/>
                <w:sz w:val="20"/>
                <w:szCs w:val="20"/>
              </w:rPr>
              <w:t xml:space="preserve">Котельная </w:t>
            </w:r>
          </w:p>
        </w:tc>
        <w:tc>
          <w:tcPr>
            <w:tcW w:w="2564" w:type="dxa"/>
            <w:shd w:val="clear" w:color="auto" w:fill="auto"/>
            <w:vAlign w:val="center"/>
          </w:tcPr>
          <w:p>
            <w:pPr>
              <w:spacing w:after="0" w:line="240" w:lineRule="auto"/>
              <w:jc w:val="center"/>
              <w:rPr>
                <w:rFonts w:ascii="Times New Roman" w:hAnsi="Times New Roman"/>
                <w:sz w:val="20"/>
                <w:szCs w:val="20"/>
              </w:rPr>
            </w:pPr>
            <w:r>
              <w:rPr>
                <w:rFonts w:ascii="Times New Roman" w:hAnsi="Times New Roman"/>
                <w:sz w:val="20"/>
                <w:szCs w:val="20"/>
              </w:rPr>
              <w:t>1,800</w:t>
            </w:r>
          </w:p>
        </w:tc>
        <w:tc>
          <w:tcPr>
            <w:tcW w:w="3104" w:type="dxa"/>
            <w:vAlign w:val="center"/>
          </w:tcPr>
          <w:p>
            <w:pPr>
              <w:spacing w:after="0" w:line="240" w:lineRule="auto"/>
              <w:jc w:val="center"/>
              <w:rPr>
                <w:sz w:val="20"/>
                <w:szCs w:val="20"/>
                <w:highlight w:val="green"/>
              </w:rPr>
            </w:pPr>
            <w:r>
              <w:rPr>
                <w:rFonts w:ascii="Times New Roman" w:hAnsi="Times New Roman"/>
                <w:sz w:val="20"/>
                <w:szCs w:val="20"/>
              </w:rPr>
              <w:t>0,76</w:t>
            </w:r>
          </w:p>
        </w:tc>
      </w:tr>
    </w:tbl>
    <w:p>
      <w:pPr>
        <w:spacing w:after="0" w:line="360" w:lineRule="auto"/>
        <w:ind w:firstLine="567"/>
        <w:jc w:val="both"/>
        <w:rPr>
          <w:rFonts w:ascii="Times New Roman" w:hAnsi="Times New Roman"/>
          <w:sz w:val="28"/>
          <w:szCs w:val="28"/>
        </w:rPr>
      </w:pP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К существующим зонам действия индивидуальных источников тепловой энергии относится основная часть частного жилого сектора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От индивидуальных источников в </w:t>
      </w:r>
      <w:proofErr w:type="spellStart"/>
      <w:r>
        <w:rPr>
          <w:rFonts w:ascii="Times New Roman" w:hAnsi="Times New Roman"/>
          <w:sz w:val="28"/>
          <w:szCs w:val="28"/>
        </w:rPr>
        <w:t>Тигрицком</w:t>
      </w:r>
      <w:proofErr w:type="spellEnd"/>
      <w:r>
        <w:rPr>
          <w:rFonts w:ascii="Times New Roman" w:hAnsi="Times New Roman"/>
          <w:sz w:val="28"/>
          <w:szCs w:val="28"/>
        </w:rPr>
        <w:t xml:space="preserve"> сельсовете Минусинского района отапливаются частные жилые дома.</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Согласно Постановления Правительства Российской Федерации от 22 февраля 2012г. №154 «О требованиях к схемам теплоснабжения, порядку их разработки и утверждения», 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pPr>
        <w:spacing w:after="0" w:line="360" w:lineRule="auto"/>
        <w:ind w:firstLine="709"/>
        <w:jc w:val="both"/>
        <w:rPr>
          <w:rFonts w:ascii="Times New Roman" w:hAnsi="Times New Roman"/>
          <w:sz w:val="28"/>
        </w:rPr>
      </w:pPr>
      <w:r>
        <w:rPr>
          <w:rFonts w:ascii="Times New Roman" w:hAnsi="Times New Roman"/>
          <w:sz w:val="28"/>
        </w:rPr>
        <w:lastRenderedPageBreak/>
        <w:t xml:space="preserve">Существующие и перспективные значения установленной тепловой мощности для муниципальной котельной </w:t>
      </w:r>
      <w:proofErr w:type="spellStart"/>
      <w:r>
        <w:rPr>
          <w:rFonts w:ascii="Times New Roman" w:hAnsi="Times New Roman"/>
          <w:sz w:val="28"/>
        </w:rPr>
        <w:t>Тигрицкого</w:t>
      </w:r>
      <w:proofErr w:type="spellEnd"/>
      <w:r>
        <w:rPr>
          <w:rFonts w:ascii="Times New Roman" w:hAnsi="Times New Roman"/>
          <w:sz w:val="28"/>
        </w:rPr>
        <w:t xml:space="preserve"> сельсовета Минусинского района приведены в таблице </w:t>
      </w:r>
    </w:p>
    <w:p>
      <w:pPr>
        <w:autoSpaceDE w:val="0"/>
        <w:autoSpaceDN w:val="0"/>
        <w:adjustRightInd w:val="0"/>
        <w:spacing w:after="0" w:line="240" w:lineRule="auto"/>
        <w:jc w:val="both"/>
        <w:rPr>
          <w:rFonts w:ascii="Times New Roman" w:hAnsi="Times New Roman"/>
          <w:b/>
          <w:i/>
          <w:sz w:val="28"/>
          <w:szCs w:val="28"/>
        </w:rPr>
      </w:pPr>
      <w:r>
        <w:rPr>
          <w:rFonts w:ascii="Times New Roman" w:hAnsi="Times New Roman"/>
          <w:b/>
          <w:i/>
          <w:sz w:val="28"/>
          <w:szCs w:val="28"/>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w:t>
      </w:r>
    </w:p>
    <w:tbl>
      <w:tblPr>
        <w:tblW w:w="97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8"/>
        <w:gridCol w:w="2915"/>
        <w:gridCol w:w="1629"/>
        <w:gridCol w:w="740"/>
        <w:gridCol w:w="740"/>
        <w:gridCol w:w="740"/>
        <w:gridCol w:w="902"/>
      </w:tblGrid>
      <w:tr>
        <w:trPr>
          <w:trHeight w:val="78"/>
          <w:jc w:val="center"/>
        </w:trPr>
        <w:tc>
          <w:tcPr>
            <w:tcW w:w="2274" w:type="dxa"/>
            <w:vMerge w:val="restart"/>
            <w:shd w:val="clear" w:color="auto" w:fill="C5E0B3" w:themeFill="accent6" w:themeFillTint="66"/>
            <w:vAlign w:val="center"/>
          </w:tcPr>
          <w:p>
            <w:pPr>
              <w:autoSpaceDE w:val="0"/>
              <w:autoSpaceDN w:val="0"/>
              <w:adjustRightInd w:val="0"/>
              <w:spacing w:after="0" w:line="240" w:lineRule="auto"/>
              <w:jc w:val="center"/>
              <w:rPr>
                <w:rFonts w:ascii="Times New Roman" w:eastAsia="Times New Roman,Bold" w:hAnsi="Times New Roman"/>
                <w:b/>
                <w:bCs/>
                <w:i/>
                <w:sz w:val="20"/>
                <w:szCs w:val="20"/>
              </w:rPr>
            </w:pPr>
            <w:r>
              <w:rPr>
                <w:rFonts w:ascii="Times New Roman" w:eastAsia="Times New Roman,Bold" w:hAnsi="Times New Roman"/>
                <w:b/>
                <w:bCs/>
                <w:i/>
                <w:sz w:val="20"/>
                <w:szCs w:val="20"/>
              </w:rPr>
              <w:t>Источник теплоснабжения</w:t>
            </w:r>
          </w:p>
        </w:tc>
        <w:tc>
          <w:tcPr>
            <w:tcW w:w="3622" w:type="dxa"/>
            <w:vMerge w:val="restart"/>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r>
              <w:rPr>
                <w:rFonts w:ascii="Times New Roman" w:eastAsia="Times New Roman,Bold" w:hAnsi="Times New Roman"/>
                <w:b/>
                <w:bCs/>
                <w:i/>
                <w:sz w:val="20"/>
                <w:szCs w:val="20"/>
              </w:rPr>
              <w:t>Параметр</w:t>
            </w:r>
          </w:p>
        </w:tc>
        <w:tc>
          <w:tcPr>
            <w:tcW w:w="1101" w:type="dxa"/>
            <w:vMerge w:val="restart"/>
            <w:shd w:val="clear" w:color="auto" w:fill="C5E0B3" w:themeFill="accent6" w:themeFillTint="66"/>
            <w:vAlign w:val="center"/>
          </w:tcPr>
          <w:p>
            <w:pPr>
              <w:autoSpaceDE w:val="0"/>
              <w:autoSpaceDN w:val="0"/>
              <w:adjustRightInd w:val="0"/>
              <w:spacing w:after="0" w:line="240" w:lineRule="auto"/>
              <w:jc w:val="center"/>
              <w:rPr>
                <w:rFonts w:ascii="Times New Roman" w:eastAsia="Times New Roman,Bold" w:hAnsi="Times New Roman"/>
                <w:b/>
                <w:bCs/>
                <w:i/>
                <w:sz w:val="20"/>
                <w:szCs w:val="20"/>
              </w:rPr>
            </w:pPr>
            <w:r>
              <w:rPr>
                <w:rFonts w:ascii="Times New Roman" w:eastAsia="Times New Roman,Bold" w:hAnsi="Times New Roman"/>
                <w:b/>
                <w:bCs/>
                <w:i/>
                <w:sz w:val="20"/>
                <w:szCs w:val="20"/>
              </w:rPr>
              <w:t xml:space="preserve">Существующие </w:t>
            </w:r>
            <w:r>
              <w:rPr>
                <w:rFonts w:ascii="Times New Roman" w:hAnsi="Times New Roman"/>
                <w:b/>
                <w:i/>
                <w:sz w:val="20"/>
                <w:szCs w:val="20"/>
              </w:rPr>
              <w:t>2025г.</w:t>
            </w:r>
          </w:p>
        </w:tc>
        <w:tc>
          <w:tcPr>
            <w:tcW w:w="2777" w:type="dxa"/>
            <w:gridSpan w:val="4"/>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r>
              <w:rPr>
                <w:rFonts w:ascii="Times New Roman" w:eastAsia="Times New Roman,Bold" w:hAnsi="Times New Roman"/>
                <w:b/>
                <w:bCs/>
                <w:i/>
                <w:sz w:val="20"/>
                <w:szCs w:val="20"/>
              </w:rPr>
              <w:t>Перспективные</w:t>
            </w:r>
          </w:p>
        </w:tc>
      </w:tr>
      <w:tr>
        <w:trPr>
          <w:trHeight w:val="78"/>
          <w:jc w:val="center"/>
        </w:trPr>
        <w:tc>
          <w:tcPr>
            <w:tcW w:w="2274" w:type="dxa"/>
            <w:vMerge/>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p>
        </w:tc>
        <w:tc>
          <w:tcPr>
            <w:tcW w:w="3622" w:type="dxa"/>
            <w:vMerge/>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p>
        </w:tc>
        <w:tc>
          <w:tcPr>
            <w:tcW w:w="1101" w:type="dxa"/>
            <w:vMerge/>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p>
        </w:tc>
        <w:tc>
          <w:tcPr>
            <w:tcW w:w="583"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r>
              <w:rPr>
                <w:rFonts w:ascii="Times New Roman" w:hAnsi="Times New Roman"/>
                <w:b/>
                <w:i/>
                <w:sz w:val="20"/>
                <w:szCs w:val="20"/>
              </w:rPr>
              <w:t>2026г.</w:t>
            </w:r>
          </w:p>
        </w:tc>
        <w:tc>
          <w:tcPr>
            <w:tcW w:w="583"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r>
              <w:rPr>
                <w:rFonts w:ascii="Times New Roman" w:hAnsi="Times New Roman"/>
                <w:b/>
                <w:i/>
                <w:sz w:val="20"/>
                <w:szCs w:val="20"/>
              </w:rPr>
              <w:t>2027г.</w:t>
            </w:r>
          </w:p>
        </w:tc>
        <w:tc>
          <w:tcPr>
            <w:tcW w:w="664"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r>
              <w:rPr>
                <w:rFonts w:ascii="Times New Roman" w:hAnsi="Times New Roman"/>
                <w:b/>
                <w:i/>
                <w:sz w:val="20"/>
                <w:szCs w:val="20"/>
              </w:rPr>
              <w:t>2028г.</w:t>
            </w:r>
          </w:p>
        </w:tc>
        <w:tc>
          <w:tcPr>
            <w:tcW w:w="944"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r>
              <w:rPr>
                <w:rFonts w:ascii="Times New Roman" w:hAnsi="Times New Roman"/>
                <w:b/>
                <w:i/>
                <w:sz w:val="20"/>
                <w:szCs w:val="20"/>
              </w:rPr>
              <w:t>2029-2038гг.</w:t>
            </w:r>
          </w:p>
        </w:tc>
      </w:tr>
      <w:tr>
        <w:trPr>
          <w:trHeight w:val="201"/>
          <w:jc w:val="center"/>
        </w:trPr>
        <w:tc>
          <w:tcPr>
            <w:tcW w:w="2274" w:type="dxa"/>
            <w:vMerge w:val="restart"/>
            <w:shd w:val="clear" w:color="auto" w:fill="C5E0B3" w:themeFill="accent6" w:themeFillTint="66"/>
            <w:vAlign w:val="center"/>
          </w:tcPr>
          <w:p>
            <w:pPr>
              <w:spacing w:after="0" w:line="240" w:lineRule="auto"/>
              <w:jc w:val="center"/>
              <w:rPr>
                <w:rFonts w:ascii="Times New Roman" w:hAnsi="Times New Roman"/>
                <w:b/>
                <w:i/>
                <w:color w:val="FF0000"/>
                <w:sz w:val="20"/>
                <w:szCs w:val="20"/>
              </w:rPr>
            </w:pPr>
            <w:r>
              <w:rPr>
                <w:rFonts w:ascii="Times New Roman" w:hAnsi="Times New Roman"/>
                <w:b/>
                <w:i/>
                <w:sz w:val="20"/>
                <w:szCs w:val="20"/>
              </w:rPr>
              <w:t xml:space="preserve">Котельная </w:t>
            </w:r>
          </w:p>
        </w:tc>
        <w:tc>
          <w:tcPr>
            <w:tcW w:w="3622" w:type="dxa"/>
            <w:vAlign w:val="center"/>
          </w:tcPr>
          <w:p>
            <w:pPr>
              <w:autoSpaceDE w:val="0"/>
              <w:autoSpaceDN w:val="0"/>
              <w:adjustRightInd w:val="0"/>
              <w:spacing w:after="0" w:line="240" w:lineRule="auto"/>
              <w:jc w:val="center"/>
              <w:rPr>
                <w:rFonts w:ascii="Times New Roman" w:hAnsi="Times New Roman"/>
                <w:sz w:val="20"/>
                <w:szCs w:val="20"/>
              </w:rPr>
            </w:pPr>
            <w:proofErr w:type="gramStart"/>
            <w:r>
              <w:rPr>
                <w:rFonts w:ascii="Times New Roman" w:hAnsi="Times New Roman"/>
                <w:sz w:val="20"/>
                <w:szCs w:val="20"/>
              </w:rPr>
              <w:t>объемы</w:t>
            </w:r>
            <w:proofErr w:type="gramEnd"/>
            <w:r>
              <w:rPr>
                <w:rFonts w:ascii="Times New Roman" w:hAnsi="Times New Roman"/>
                <w:sz w:val="20"/>
                <w:szCs w:val="20"/>
              </w:rPr>
              <w:t xml:space="preserve"> мощности, нереализуемые по тех причинам, Гкал/ч</w:t>
            </w:r>
          </w:p>
        </w:tc>
        <w:tc>
          <w:tcPr>
            <w:tcW w:w="1101" w:type="dxa"/>
            <w:vAlign w:val="center"/>
          </w:tcPr>
          <w:p>
            <w:pPr>
              <w:spacing w:after="0" w:line="240" w:lineRule="auto"/>
              <w:jc w:val="center"/>
              <w:rPr>
                <w:rFonts w:ascii="Times New Roman" w:hAnsi="Times New Roman"/>
                <w:sz w:val="20"/>
                <w:szCs w:val="20"/>
              </w:rPr>
            </w:pPr>
            <w:r>
              <w:rPr>
                <w:rFonts w:ascii="Times New Roman" w:hAnsi="Times New Roman"/>
                <w:sz w:val="20"/>
                <w:szCs w:val="20"/>
              </w:rPr>
              <w:t>0</w:t>
            </w:r>
          </w:p>
        </w:tc>
        <w:tc>
          <w:tcPr>
            <w:tcW w:w="583" w:type="dxa"/>
            <w:vAlign w:val="center"/>
          </w:tcPr>
          <w:p>
            <w:pPr>
              <w:spacing w:after="0" w:line="240" w:lineRule="auto"/>
              <w:jc w:val="center"/>
              <w:rPr>
                <w:rFonts w:ascii="Times New Roman" w:hAnsi="Times New Roman"/>
                <w:sz w:val="20"/>
                <w:szCs w:val="20"/>
              </w:rPr>
            </w:pPr>
            <w:r>
              <w:rPr>
                <w:rFonts w:ascii="Times New Roman" w:hAnsi="Times New Roman"/>
                <w:sz w:val="20"/>
                <w:szCs w:val="20"/>
              </w:rPr>
              <w:t>0</w:t>
            </w:r>
          </w:p>
        </w:tc>
        <w:tc>
          <w:tcPr>
            <w:tcW w:w="583" w:type="dxa"/>
            <w:vAlign w:val="center"/>
          </w:tcPr>
          <w:p>
            <w:pPr>
              <w:spacing w:after="0" w:line="240" w:lineRule="auto"/>
              <w:jc w:val="center"/>
              <w:rPr>
                <w:rFonts w:ascii="Times New Roman" w:hAnsi="Times New Roman"/>
                <w:sz w:val="20"/>
                <w:szCs w:val="20"/>
              </w:rPr>
            </w:pPr>
            <w:r>
              <w:rPr>
                <w:rFonts w:ascii="Times New Roman" w:hAnsi="Times New Roman"/>
                <w:sz w:val="20"/>
                <w:szCs w:val="20"/>
              </w:rPr>
              <w:t>0</w:t>
            </w:r>
          </w:p>
        </w:tc>
        <w:tc>
          <w:tcPr>
            <w:tcW w:w="664" w:type="dxa"/>
            <w:vAlign w:val="center"/>
          </w:tcPr>
          <w:p>
            <w:pPr>
              <w:spacing w:after="0" w:line="240" w:lineRule="auto"/>
              <w:jc w:val="center"/>
              <w:rPr>
                <w:rFonts w:ascii="Times New Roman" w:hAnsi="Times New Roman"/>
                <w:sz w:val="20"/>
                <w:szCs w:val="20"/>
              </w:rPr>
            </w:pPr>
            <w:r>
              <w:rPr>
                <w:rFonts w:ascii="Times New Roman" w:hAnsi="Times New Roman"/>
                <w:sz w:val="20"/>
                <w:szCs w:val="20"/>
              </w:rPr>
              <w:t>0</w:t>
            </w:r>
          </w:p>
        </w:tc>
        <w:tc>
          <w:tcPr>
            <w:tcW w:w="944" w:type="dxa"/>
            <w:vAlign w:val="center"/>
          </w:tcPr>
          <w:p>
            <w:pPr>
              <w:spacing w:after="0" w:line="240" w:lineRule="auto"/>
              <w:jc w:val="center"/>
              <w:rPr>
                <w:rFonts w:ascii="Times New Roman" w:hAnsi="Times New Roman"/>
                <w:sz w:val="20"/>
                <w:szCs w:val="20"/>
              </w:rPr>
            </w:pPr>
            <w:r>
              <w:rPr>
                <w:rFonts w:ascii="Times New Roman" w:hAnsi="Times New Roman"/>
                <w:sz w:val="20"/>
                <w:szCs w:val="20"/>
              </w:rPr>
              <w:t>0</w:t>
            </w:r>
          </w:p>
        </w:tc>
      </w:tr>
      <w:tr>
        <w:trPr>
          <w:trHeight w:val="174"/>
          <w:jc w:val="center"/>
        </w:trPr>
        <w:tc>
          <w:tcPr>
            <w:tcW w:w="2274" w:type="dxa"/>
            <w:vMerge/>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20"/>
                <w:szCs w:val="20"/>
              </w:rPr>
            </w:pPr>
          </w:p>
        </w:tc>
        <w:tc>
          <w:tcPr>
            <w:tcW w:w="3622" w:type="dxa"/>
            <w:shd w:val="clear" w:color="auto" w:fill="E2EFD9" w:themeFill="accent6" w:themeFillTint="33"/>
            <w:vAlign w:val="center"/>
          </w:tcPr>
          <w:p>
            <w:pPr>
              <w:autoSpaceDE w:val="0"/>
              <w:autoSpaceDN w:val="0"/>
              <w:adjustRightInd w:val="0"/>
              <w:spacing w:after="0" w:line="240" w:lineRule="auto"/>
              <w:jc w:val="center"/>
              <w:rPr>
                <w:rFonts w:ascii="Times New Roman" w:hAnsi="Times New Roman"/>
                <w:sz w:val="20"/>
                <w:szCs w:val="20"/>
              </w:rPr>
            </w:pPr>
            <w:proofErr w:type="gramStart"/>
            <w:r>
              <w:rPr>
                <w:rFonts w:ascii="Times New Roman" w:hAnsi="Times New Roman"/>
                <w:sz w:val="20"/>
                <w:szCs w:val="20"/>
              </w:rPr>
              <w:t>располагаемая</w:t>
            </w:r>
            <w:proofErr w:type="gramEnd"/>
            <w:r>
              <w:rPr>
                <w:rFonts w:ascii="Times New Roman" w:hAnsi="Times New Roman"/>
                <w:sz w:val="20"/>
                <w:szCs w:val="20"/>
              </w:rPr>
              <w:t xml:space="preserve"> мощность, Гкал/ч</w:t>
            </w:r>
          </w:p>
        </w:tc>
        <w:tc>
          <w:tcPr>
            <w:tcW w:w="1101" w:type="dxa"/>
            <w:shd w:val="clear" w:color="auto" w:fill="E2EFD9" w:themeFill="accent6" w:themeFillTint="33"/>
            <w:vAlign w:val="center"/>
          </w:tcPr>
          <w:p>
            <w:pPr>
              <w:spacing w:after="0" w:line="240" w:lineRule="auto"/>
              <w:jc w:val="center"/>
              <w:rPr>
                <w:rFonts w:ascii="Times New Roman" w:hAnsi="Times New Roman"/>
                <w:sz w:val="20"/>
                <w:szCs w:val="20"/>
              </w:rPr>
            </w:pPr>
            <w:r>
              <w:rPr>
                <w:rFonts w:ascii="Times New Roman" w:hAnsi="Times New Roman"/>
                <w:sz w:val="20"/>
                <w:szCs w:val="20"/>
              </w:rPr>
              <w:t>1,8</w:t>
            </w:r>
          </w:p>
        </w:tc>
        <w:tc>
          <w:tcPr>
            <w:tcW w:w="583" w:type="dxa"/>
            <w:shd w:val="clear" w:color="auto" w:fill="E2EFD9" w:themeFill="accent6" w:themeFillTint="33"/>
            <w:vAlign w:val="center"/>
          </w:tcPr>
          <w:p>
            <w:pPr>
              <w:spacing w:after="0" w:line="240" w:lineRule="auto"/>
              <w:jc w:val="center"/>
              <w:rPr>
                <w:rFonts w:ascii="Times New Roman" w:hAnsi="Times New Roman"/>
                <w:sz w:val="20"/>
                <w:szCs w:val="20"/>
              </w:rPr>
            </w:pPr>
            <w:r>
              <w:rPr>
                <w:rFonts w:ascii="Times New Roman" w:hAnsi="Times New Roman"/>
                <w:sz w:val="20"/>
                <w:szCs w:val="20"/>
              </w:rPr>
              <w:t>1,8</w:t>
            </w:r>
          </w:p>
        </w:tc>
        <w:tc>
          <w:tcPr>
            <w:tcW w:w="583" w:type="dxa"/>
            <w:shd w:val="clear" w:color="auto" w:fill="E2EFD9" w:themeFill="accent6" w:themeFillTint="33"/>
            <w:vAlign w:val="center"/>
          </w:tcPr>
          <w:p>
            <w:pPr>
              <w:spacing w:after="0" w:line="240" w:lineRule="auto"/>
              <w:jc w:val="center"/>
              <w:rPr>
                <w:rFonts w:ascii="Times New Roman" w:hAnsi="Times New Roman"/>
                <w:sz w:val="20"/>
                <w:szCs w:val="20"/>
              </w:rPr>
            </w:pPr>
            <w:r>
              <w:rPr>
                <w:rFonts w:ascii="Times New Roman" w:hAnsi="Times New Roman"/>
                <w:sz w:val="20"/>
                <w:szCs w:val="20"/>
              </w:rPr>
              <w:t>1,8</w:t>
            </w:r>
          </w:p>
        </w:tc>
        <w:tc>
          <w:tcPr>
            <w:tcW w:w="664" w:type="dxa"/>
            <w:shd w:val="clear" w:color="auto" w:fill="E2EFD9" w:themeFill="accent6" w:themeFillTint="33"/>
            <w:vAlign w:val="center"/>
          </w:tcPr>
          <w:p>
            <w:pPr>
              <w:spacing w:after="0" w:line="240" w:lineRule="auto"/>
              <w:jc w:val="center"/>
              <w:rPr>
                <w:rFonts w:ascii="Times New Roman" w:hAnsi="Times New Roman"/>
                <w:sz w:val="20"/>
                <w:szCs w:val="20"/>
              </w:rPr>
            </w:pPr>
            <w:r>
              <w:rPr>
                <w:rFonts w:ascii="Times New Roman" w:hAnsi="Times New Roman"/>
                <w:sz w:val="20"/>
                <w:szCs w:val="20"/>
              </w:rPr>
              <w:t>1,8</w:t>
            </w:r>
          </w:p>
        </w:tc>
        <w:tc>
          <w:tcPr>
            <w:tcW w:w="944" w:type="dxa"/>
            <w:shd w:val="clear" w:color="auto" w:fill="E2EFD9" w:themeFill="accent6" w:themeFillTint="33"/>
            <w:vAlign w:val="center"/>
          </w:tcPr>
          <w:p>
            <w:pPr>
              <w:spacing w:after="0" w:line="240" w:lineRule="auto"/>
              <w:jc w:val="center"/>
              <w:rPr>
                <w:rFonts w:ascii="Times New Roman" w:hAnsi="Times New Roman"/>
                <w:sz w:val="20"/>
                <w:szCs w:val="20"/>
              </w:rPr>
            </w:pPr>
            <w:r>
              <w:rPr>
                <w:rFonts w:ascii="Times New Roman" w:hAnsi="Times New Roman"/>
                <w:sz w:val="20"/>
                <w:szCs w:val="20"/>
              </w:rPr>
              <w:t>1,8</w:t>
            </w:r>
          </w:p>
        </w:tc>
      </w:tr>
    </w:tbl>
    <w:p>
      <w:pPr>
        <w:spacing w:after="0" w:line="360" w:lineRule="auto"/>
        <w:jc w:val="both"/>
        <w:rPr>
          <w:rFonts w:ascii="Times New Roman" w:hAnsi="Times New Roman"/>
          <w:sz w:val="28"/>
        </w:rPr>
      </w:pPr>
    </w:p>
    <w:p>
      <w:pPr>
        <w:autoSpaceDE w:val="0"/>
        <w:autoSpaceDN w:val="0"/>
        <w:adjustRightInd w:val="0"/>
        <w:spacing w:after="0" w:line="360" w:lineRule="auto"/>
        <w:ind w:firstLine="567"/>
        <w:jc w:val="both"/>
        <w:rPr>
          <w:rFonts w:ascii="Times New Roman" w:hAnsi="Times New Roman"/>
          <w:sz w:val="28"/>
          <w:szCs w:val="26"/>
        </w:rPr>
      </w:pPr>
      <w:r>
        <w:rPr>
          <w:rFonts w:ascii="Times New Roman" w:hAnsi="Times New Roman"/>
          <w:sz w:val="28"/>
          <w:szCs w:val="26"/>
        </w:rPr>
        <w:t xml:space="preserve">Согласно Постановления Правительства Российской Федерации от 22 февраля 2012г. №154 «О требованиях к схемам теплоснабжения, порядку их разработки и утверждения», 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Существующая и перспективная тепловая мощности источников тепловой энергии нетто для котельной </w:t>
      </w:r>
      <w:proofErr w:type="spellStart"/>
      <w:r>
        <w:rPr>
          <w:rFonts w:ascii="Times New Roman" w:hAnsi="Times New Roman"/>
          <w:sz w:val="28"/>
          <w:szCs w:val="26"/>
        </w:rPr>
        <w:t>Тигрицкого</w:t>
      </w:r>
      <w:proofErr w:type="spellEnd"/>
      <w:r>
        <w:rPr>
          <w:rFonts w:ascii="Times New Roman" w:hAnsi="Times New Roman"/>
          <w:sz w:val="28"/>
          <w:szCs w:val="26"/>
        </w:rPr>
        <w:t xml:space="preserve"> сельсовета Минусинского района приведены в таблице </w:t>
      </w:r>
    </w:p>
    <w:p>
      <w:pPr>
        <w:autoSpaceDE w:val="0"/>
        <w:autoSpaceDN w:val="0"/>
        <w:adjustRightInd w:val="0"/>
        <w:spacing w:after="0" w:line="240" w:lineRule="auto"/>
        <w:jc w:val="center"/>
        <w:rPr>
          <w:rFonts w:ascii="Times New Roman" w:hAnsi="Times New Roman"/>
          <w:b/>
          <w:i/>
          <w:sz w:val="26"/>
          <w:szCs w:val="26"/>
        </w:rPr>
      </w:pPr>
      <w:r>
        <w:rPr>
          <w:rFonts w:ascii="Times New Roman" w:hAnsi="Times New Roman"/>
          <w:b/>
          <w:i/>
          <w:sz w:val="26"/>
          <w:szCs w:val="26"/>
        </w:rPr>
        <w:t xml:space="preserve">Таблица – Существующая и перспективная тепловая мощности источников </w:t>
      </w:r>
      <w:r>
        <w:rPr>
          <w:rFonts w:ascii="Times New Roman" w:hAnsi="Times New Roman"/>
          <w:b/>
          <w:i/>
          <w:sz w:val="28"/>
          <w:szCs w:val="28"/>
        </w:rPr>
        <w:t>тепловой</w:t>
      </w:r>
      <w:r>
        <w:rPr>
          <w:rFonts w:ascii="Times New Roman" w:hAnsi="Times New Roman"/>
          <w:b/>
          <w:i/>
          <w:sz w:val="26"/>
          <w:szCs w:val="26"/>
        </w:rPr>
        <w:t xml:space="preserve"> энергии нетто</w:t>
      </w:r>
    </w:p>
    <w:p>
      <w:pPr>
        <w:autoSpaceDE w:val="0"/>
        <w:autoSpaceDN w:val="0"/>
        <w:adjustRightInd w:val="0"/>
        <w:spacing w:after="0" w:line="240" w:lineRule="auto"/>
        <w:jc w:val="center"/>
        <w:rPr>
          <w:rFonts w:ascii="Times New Roman" w:hAnsi="Times New Roman"/>
          <w:b/>
          <w:i/>
          <w:sz w:val="26"/>
          <w:szCs w:val="26"/>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06"/>
        <w:gridCol w:w="1530"/>
        <w:gridCol w:w="1311"/>
        <w:gridCol w:w="1311"/>
        <w:gridCol w:w="1093"/>
        <w:gridCol w:w="1530"/>
      </w:tblGrid>
      <w:tr>
        <w:trPr>
          <w:trHeight w:val="281"/>
        </w:trPr>
        <w:tc>
          <w:tcPr>
            <w:tcW w:w="3006" w:type="dxa"/>
            <w:vMerge w:val="restart"/>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Котельная</w:t>
            </w:r>
          </w:p>
        </w:tc>
        <w:tc>
          <w:tcPr>
            <w:tcW w:w="6775" w:type="dxa"/>
            <w:gridSpan w:val="5"/>
            <w:shd w:val="clear" w:color="auto" w:fill="C5E0B3" w:themeFill="accent6" w:themeFillTint="66"/>
            <w:vAlign w:val="center"/>
          </w:tcPr>
          <w:p>
            <w:pPr>
              <w:spacing w:after="0" w:line="240" w:lineRule="auto"/>
              <w:jc w:val="center"/>
              <w:rPr>
                <w:rFonts w:ascii="Times New Roman" w:hAnsi="Times New Roman"/>
                <w:b/>
                <w:i/>
                <w:sz w:val="20"/>
                <w:szCs w:val="20"/>
              </w:rPr>
            </w:pPr>
            <w:r>
              <w:rPr>
                <w:rFonts w:ascii="Times New Roman" w:eastAsia="Times New Roman,Bold" w:hAnsi="Times New Roman"/>
                <w:b/>
                <w:bCs/>
                <w:i/>
                <w:sz w:val="20"/>
                <w:szCs w:val="20"/>
              </w:rPr>
              <w:t>Значение тепловой мощности источников тепловой энергии нетто, Гкал/час</w:t>
            </w:r>
          </w:p>
        </w:tc>
      </w:tr>
      <w:tr>
        <w:trPr>
          <w:trHeight w:val="60"/>
        </w:trPr>
        <w:tc>
          <w:tcPr>
            <w:tcW w:w="3006" w:type="dxa"/>
            <w:vMerge/>
            <w:shd w:val="clear" w:color="auto" w:fill="C5E0B3" w:themeFill="accent6" w:themeFillTint="66"/>
            <w:vAlign w:val="center"/>
          </w:tcPr>
          <w:p>
            <w:pPr>
              <w:spacing w:after="0" w:line="240" w:lineRule="auto"/>
              <w:jc w:val="center"/>
              <w:rPr>
                <w:rFonts w:ascii="Times New Roman" w:hAnsi="Times New Roman"/>
                <w:b/>
                <w:i/>
                <w:sz w:val="20"/>
                <w:szCs w:val="20"/>
              </w:rPr>
            </w:pPr>
          </w:p>
        </w:tc>
        <w:tc>
          <w:tcPr>
            <w:tcW w:w="1530" w:type="dxa"/>
            <w:shd w:val="clear" w:color="auto" w:fill="C5E0B3" w:themeFill="accent6" w:themeFillTint="66"/>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2025г.</w:t>
            </w:r>
          </w:p>
        </w:tc>
        <w:tc>
          <w:tcPr>
            <w:tcW w:w="1311" w:type="dxa"/>
            <w:shd w:val="clear" w:color="auto" w:fill="C5E0B3" w:themeFill="accent6" w:themeFillTint="66"/>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2026г.</w:t>
            </w:r>
          </w:p>
        </w:tc>
        <w:tc>
          <w:tcPr>
            <w:tcW w:w="1311" w:type="dxa"/>
            <w:shd w:val="clear" w:color="auto" w:fill="C5E0B3" w:themeFill="accent6" w:themeFillTint="66"/>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2027г.</w:t>
            </w:r>
          </w:p>
        </w:tc>
        <w:tc>
          <w:tcPr>
            <w:tcW w:w="1093" w:type="dxa"/>
            <w:shd w:val="clear" w:color="auto" w:fill="C5E0B3" w:themeFill="accent6" w:themeFillTint="66"/>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2028г.</w:t>
            </w:r>
          </w:p>
        </w:tc>
        <w:tc>
          <w:tcPr>
            <w:tcW w:w="1530" w:type="dxa"/>
            <w:shd w:val="clear" w:color="auto" w:fill="C5E0B3" w:themeFill="accent6" w:themeFillTint="66"/>
            <w:vAlign w:val="center"/>
          </w:tcPr>
          <w:p>
            <w:pPr>
              <w:spacing w:after="0" w:line="240" w:lineRule="auto"/>
              <w:jc w:val="center"/>
              <w:rPr>
                <w:rFonts w:ascii="Times New Roman" w:hAnsi="Times New Roman"/>
                <w:b/>
                <w:i/>
                <w:sz w:val="20"/>
                <w:szCs w:val="20"/>
              </w:rPr>
            </w:pPr>
            <w:r>
              <w:rPr>
                <w:rFonts w:ascii="Times New Roman" w:hAnsi="Times New Roman"/>
                <w:b/>
                <w:i/>
                <w:sz w:val="20"/>
                <w:szCs w:val="20"/>
              </w:rPr>
              <w:t>2029-2038гг.</w:t>
            </w:r>
          </w:p>
        </w:tc>
      </w:tr>
      <w:tr>
        <w:trPr>
          <w:trHeight w:val="219"/>
        </w:trPr>
        <w:tc>
          <w:tcPr>
            <w:tcW w:w="3006" w:type="dxa"/>
            <w:shd w:val="clear" w:color="auto" w:fill="C5E0B3" w:themeFill="accent6" w:themeFillTint="66"/>
            <w:vAlign w:val="center"/>
          </w:tcPr>
          <w:p>
            <w:pPr>
              <w:widowControl w:val="0"/>
              <w:tabs>
                <w:tab w:val="left" w:pos="1459"/>
              </w:tabs>
              <w:spacing w:after="0" w:line="240" w:lineRule="auto"/>
              <w:jc w:val="center"/>
              <w:rPr>
                <w:rFonts w:ascii="Times New Roman" w:hAnsi="Times New Roman"/>
                <w:b/>
                <w:bCs/>
                <w:i/>
                <w:color w:val="FF0000"/>
                <w:sz w:val="20"/>
                <w:szCs w:val="20"/>
              </w:rPr>
            </w:pPr>
            <w:r>
              <w:rPr>
                <w:rFonts w:ascii="Times New Roman" w:hAnsi="Times New Roman"/>
                <w:b/>
                <w:bCs/>
                <w:i/>
                <w:iCs/>
                <w:sz w:val="20"/>
                <w:szCs w:val="20"/>
              </w:rPr>
              <w:t xml:space="preserve">Котельная </w:t>
            </w:r>
          </w:p>
        </w:tc>
        <w:tc>
          <w:tcPr>
            <w:tcW w:w="1530"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1,8</w:t>
            </w:r>
          </w:p>
        </w:tc>
        <w:tc>
          <w:tcPr>
            <w:tcW w:w="1311"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1,8</w:t>
            </w:r>
          </w:p>
        </w:tc>
        <w:tc>
          <w:tcPr>
            <w:tcW w:w="1311"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1,8</w:t>
            </w:r>
          </w:p>
        </w:tc>
        <w:tc>
          <w:tcPr>
            <w:tcW w:w="1093"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1,8</w:t>
            </w:r>
          </w:p>
        </w:tc>
        <w:tc>
          <w:tcPr>
            <w:tcW w:w="1530"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1,8</w:t>
            </w:r>
          </w:p>
        </w:tc>
      </w:tr>
    </w:tbl>
    <w:p>
      <w:pPr>
        <w:rPr>
          <w:rFonts w:ascii="Times New Roman" w:hAnsi="Times New Roman"/>
          <w:sz w:val="28"/>
        </w:rPr>
      </w:pP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rPr>
        <w:tab/>
      </w:r>
      <w:r>
        <w:rPr>
          <w:rFonts w:ascii="Times New Roman" w:hAnsi="Times New Roman"/>
          <w:sz w:val="28"/>
          <w:szCs w:val="28"/>
        </w:rPr>
        <w:t xml:space="preserve">Согласно Федеральному закону от 27.07.2010г. № 190-ФЗ «О теплоснабжении», резервная тепловая мощность – тепловая мощность источников тепловой энергии и тепловых сетей, необходимая для обеспечения тепловой нагрузки </w:t>
      </w:r>
      <w:proofErr w:type="spellStart"/>
      <w:r>
        <w:rPr>
          <w:rFonts w:ascii="Times New Roman" w:hAnsi="Times New Roman"/>
          <w:sz w:val="28"/>
          <w:szCs w:val="28"/>
        </w:rPr>
        <w:t>теплопотребляющих</w:t>
      </w:r>
      <w:proofErr w:type="spellEnd"/>
      <w:r>
        <w:rPr>
          <w:rFonts w:ascii="Times New Roman" w:hAnsi="Times New Roman"/>
          <w:sz w:val="28"/>
          <w:szCs w:val="28"/>
        </w:rPr>
        <w:t xml:space="preserve"> установок, входящих в систему теплоснабжения, но не потребляющих тепловой энергии, теплоносителя.</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lastRenderedPageBreak/>
        <w:t xml:space="preserve">Значения существующей и перспективной резервной тепловой мощности источника теплоснабжения для котельной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w:t>
      </w:r>
      <w:r>
        <w:t xml:space="preserve"> </w:t>
      </w:r>
      <w:r>
        <w:rPr>
          <w:rFonts w:ascii="Times New Roman" w:hAnsi="Times New Roman"/>
          <w:sz w:val="28"/>
          <w:szCs w:val="28"/>
        </w:rPr>
        <w:t xml:space="preserve">Минусинского района приведены в таблице </w:t>
      </w:r>
    </w:p>
    <w:p>
      <w:pPr>
        <w:autoSpaceDE w:val="0"/>
        <w:autoSpaceDN w:val="0"/>
        <w:adjustRightInd w:val="0"/>
        <w:spacing w:after="0" w:line="240" w:lineRule="auto"/>
        <w:jc w:val="center"/>
        <w:rPr>
          <w:rFonts w:ascii="Times New Roman" w:hAnsi="Times New Roman"/>
          <w:b/>
          <w:i/>
          <w:sz w:val="28"/>
          <w:szCs w:val="28"/>
        </w:rPr>
      </w:pPr>
      <w:r>
        <w:rPr>
          <w:rFonts w:ascii="Times New Roman" w:hAnsi="Times New Roman"/>
          <w:b/>
          <w:i/>
          <w:sz w:val="28"/>
          <w:szCs w:val="28"/>
        </w:rPr>
        <w:t>Существующая и перспективная резервная тепловая мощности источников теплоснабжения</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8"/>
        <w:gridCol w:w="1632"/>
        <w:gridCol w:w="981"/>
        <w:gridCol w:w="992"/>
        <w:gridCol w:w="1134"/>
        <w:gridCol w:w="1559"/>
      </w:tblGrid>
      <w:tr>
        <w:trPr>
          <w:trHeight w:val="389"/>
        </w:trPr>
        <w:tc>
          <w:tcPr>
            <w:tcW w:w="3228" w:type="dxa"/>
            <w:vMerge w:val="restart"/>
            <w:shd w:val="clear" w:color="auto" w:fill="C5E0B3" w:themeFill="accent6" w:themeFillTint="66"/>
            <w:vAlign w:val="center"/>
          </w:tcPr>
          <w:p>
            <w:pPr>
              <w:autoSpaceDE w:val="0"/>
              <w:autoSpaceDN w:val="0"/>
              <w:adjustRightInd w:val="0"/>
              <w:spacing w:after="0" w:line="240" w:lineRule="auto"/>
              <w:jc w:val="center"/>
              <w:rPr>
                <w:rFonts w:ascii="Times New Roman" w:eastAsia="Times New Roman,Bold" w:hAnsi="Times New Roman"/>
                <w:b/>
                <w:bCs/>
                <w:i/>
                <w:sz w:val="20"/>
                <w:szCs w:val="20"/>
              </w:rPr>
            </w:pPr>
            <w:r>
              <w:rPr>
                <w:rFonts w:ascii="Times New Roman" w:eastAsia="Times New Roman,Bold" w:hAnsi="Times New Roman"/>
                <w:b/>
                <w:bCs/>
                <w:i/>
                <w:sz w:val="20"/>
                <w:szCs w:val="20"/>
              </w:rPr>
              <w:t>Источник теплоснабжения</w:t>
            </w:r>
          </w:p>
        </w:tc>
        <w:tc>
          <w:tcPr>
            <w:tcW w:w="6298" w:type="dxa"/>
            <w:gridSpan w:val="5"/>
            <w:shd w:val="clear" w:color="auto" w:fill="C5E0B3" w:themeFill="accent6" w:themeFillTint="66"/>
            <w:vAlign w:val="center"/>
          </w:tcPr>
          <w:p>
            <w:pPr>
              <w:autoSpaceDE w:val="0"/>
              <w:autoSpaceDN w:val="0"/>
              <w:adjustRightInd w:val="0"/>
              <w:spacing w:after="0" w:line="240" w:lineRule="auto"/>
              <w:jc w:val="center"/>
              <w:rPr>
                <w:rFonts w:ascii="Times New Roman" w:eastAsia="Times New Roman,Bold" w:hAnsi="Times New Roman"/>
                <w:b/>
                <w:bCs/>
                <w:i/>
                <w:sz w:val="20"/>
                <w:szCs w:val="20"/>
              </w:rPr>
            </w:pPr>
            <w:r>
              <w:rPr>
                <w:rFonts w:ascii="Times New Roman" w:eastAsia="Times New Roman,Bold" w:hAnsi="Times New Roman"/>
                <w:b/>
                <w:bCs/>
                <w:i/>
                <w:sz w:val="20"/>
                <w:szCs w:val="20"/>
              </w:rPr>
              <w:t>Значения существующей и перспективной резервной тепловой мощности источников теплоснабжения, Гкал/час</w:t>
            </w:r>
          </w:p>
        </w:tc>
      </w:tr>
      <w:tr>
        <w:trPr>
          <w:trHeight w:val="227"/>
        </w:trPr>
        <w:tc>
          <w:tcPr>
            <w:tcW w:w="3228" w:type="dxa"/>
            <w:vMerge/>
            <w:shd w:val="clear" w:color="auto" w:fill="C5E0B3" w:themeFill="accent6" w:themeFillTint="66"/>
            <w:vAlign w:val="center"/>
          </w:tcPr>
          <w:p>
            <w:pPr>
              <w:spacing w:after="0" w:line="240" w:lineRule="auto"/>
              <w:ind w:left="321" w:firstLine="709"/>
              <w:jc w:val="center"/>
              <w:rPr>
                <w:rFonts w:ascii="Times New Roman" w:eastAsia="Times New Roman" w:hAnsi="Times New Roman" w:cs="Times New Roman"/>
                <w:b/>
                <w:bCs/>
                <w:i/>
                <w:sz w:val="20"/>
                <w:szCs w:val="20"/>
              </w:rPr>
            </w:pPr>
          </w:p>
        </w:tc>
        <w:tc>
          <w:tcPr>
            <w:tcW w:w="1632" w:type="dxa"/>
            <w:shd w:val="clear" w:color="auto" w:fill="C5E0B3" w:themeFill="accent6" w:themeFillTint="66"/>
            <w:vAlign w:val="center"/>
          </w:tcPr>
          <w:p>
            <w:pPr>
              <w:spacing w:after="0" w:line="240" w:lineRule="auto"/>
              <w:jc w:val="center"/>
              <w:rPr>
                <w:rFonts w:ascii="Times New Roman" w:hAnsi="Times New Roman"/>
                <w:b/>
                <w:bCs/>
                <w:i/>
                <w:sz w:val="20"/>
                <w:szCs w:val="20"/>
              </w:rPr>
            </w:pPr>
            <w:r>
              <w:rPr>
                <w:rFonts w:ascii="Times New Roman" w:eastAsia="Times New Roman,Bold" w:hAnsi="Times New Roman"/>
                <w:b/>
                <w:bCs/>
                <w:i/>
                <w:sz w:val="20"/>
                <w:szCs w:val="20"/>
              </w:rPr>
              <w:t>Существующая</w:t>
            </w:r>
          </w:p>
        </w:tc>
        <w:tc>
          <w:tcPr>
            <w:tcW w:w="4666" w:type="dxa"/>
            <w:gridSpan w:val="4"/>
            <w:shd w:val="clear" w:color="auto" w:fill="C5E0B3" w:themeFill="accent6" w:themeFillTint="66"/>
            <w:vAlign w:val="center"/>
          </w:tcPr>
          <w:p>
            <w:pPr>
              <w:spacing w:after="0" w:line="240" w:lineRule="auto"/>
              <w:jc w:val="center"/>
              <w:rPr>
                <w:rFonts w:ascii="Times New Roman" w:hAnsi="Times New Roman"/>
                <w:b/>
                <w:bCs/>
                <w:i/>
                <w:sz w:val="20"/>
                <w:szCs w:val="20"/>
              </w:rPr>
            </w:pPr>
            <w:r>
              <w:rPr>
                <w:rFonts w:ascii="Times New Roman" w:eastAsia="Times New Roman,Bold" w:hAnsi="Times New Roman"/>
                <w:b/>
                <w:bCs/>
                <w:i/>
                <w:sz w:val="20"/>
                <w:szCs w:val="20"/>
              </w:rPr>
              <w:t>Перспективная</w:t>
            </w:r>
          </w:p>
        </w:tc>
      </w:tr>
      <w:tr>
        <w:trPr>
          <w:trHeight w:val="273"/>
        </w:trPr>
        <w:tc>
          <w:tcPr>
            <w:tcW w:w="3228" w:type="dxa"/>
            <w:vMerge/>
            <w:shd w:val="clear" w:color="auto" w:fill="C5E0B3" w:themeFill="accent6" w:themeFillTint="66"/>
            <w:vAlign w:val="center"/>
          </w:tcPr>
          <w:p>
            <w:pPr>
              <w:spacing w:after="0" w:line="240" w:lineRule="auto"/>
              <w:ind w:left="321" w:firstLine="709"/>
              <w:jc w:val="center"/>
              <w:rPr>
                <w:rFonts w:ascii="Times New Roman" w:eastAsia="Times New Roman" w:hAnsi="Times New Roman" w:cs="Times New Roman"/>
                <w:b/>
                <w:bCs/>
                <w:i/>
                <w:sz w:val="20"/>
                <w:szCs w:val="20"/>
              </w:rPr>
            </w:pPr>
          </w:p>
        </w:tc>
        <w:tc>
          <w:tcPr>
            <w:tcW w:w="1632" w:type="dxa"/>
            <w:shd w:val="clear" w:color="auto" w:fill="C5E0B3" w:themeFill="accent6" w:themeFillTint="66"/>
            <w:vAlign w:val="center"/>
          </w:tcPr>
          <w:p>
            <w:pPr>
              <w:spacing w:after="0" w:line="240" w:lineRule="auto"/>
              <w:jc w:val="center"/>
              <w:rPr>
                <w:rFonts w:ascii="Times New Roman" w:eastAsia="Times New Roman" w:hAnsi="Times New Roman" w:cs="Times New Roman"/>
                <w:b/>
                <w:bCs/>
                <w:i/>
                <w:sz w:val="20"/>
                <w:szCs w:val="20"/>
              </w:rPr>
            </w:pPr>
            <w:r>
              <w:rPr>
                <w:rFonts w:ascii="Times New Roman" w:eastAsia="Times New Roman" w:hAnsi="Times New Roman" w:cs="Times New Roman"/>
                <w:b/>
                <w:bCs/>
                <w:i/>
                <w:sz w:val="20"/>
                <w:szCs w:val="20"/>
              </w:rPr>
              <w:t>2025г.</w:t>
            </w:r>
          </w:p>
        </w:tc>
        <w:tc>
          <w:tcPr>
            <w:tcW w:w="981" w:type="dxa"/>
            <w:shd w:val="clear" w:color="auto" w:fill="C5E0B3" w:themeFill="accent6" w:themeFillTint="66"/>
            <w:vAlign w:val="center"/>
          </w:tcPr>
          <w:p>
            <w:pPr>
              <w:spacing w:after="0" w:line="240" w:lineRule="auto"/>
              <w:jc w:val="center"/>
              <w:rPr>
                <w:rFonts w:ascii="Times New Roman" w:eastAsia="Times New Roman" w:hAnsi="Times New Roman" w:cs="Times New Roman"/>
                <w:b/>
                <w:bCs/>
                <w:i/>
                <w:sz w:val="20"/>
                <w:szCs w:val="20"/>
              </w:rPr>
            </w:pPr>
            <w:r>
              <w:rPr>
                <w:rFonts w:ascii="Times New Roman" w:eastAsia="Times New Roman" w:hAnsi="Times New Roman" w:cs="Times New Roman"/>
                <w:b/>
                <w:bCs/>
                <w:i/>
                <w:sz w:val="20"/>
                <w:szCs w:val="20"/>
              </w:rPr>
              <w:t>2026г.</w:t>
            </w:r>
          </w:p>
        </w:tc>
        <w:tc>
          <w:tcPr>
            <w:tcW w:w="992" w:type="dxa"/>
            <w:shd w:val="clear" w:color="auto" w:fill="C5E0B3" w:themeFill="accent6" w:themeFillTint="66"/>
            <w:vAlign w:val="center"/>
          </w:tcPr>
          <w:p>
            <w:pPr>
              <w:spacing w:after="0" w:line="240" w:lineRule="auto"/>
              <w:jc w:val="center"/>
              <w:rPr>
                <w:rFonts w:ascii="Times New Roman" w:eastAsia="Times New Roman" w:hAnsi="Times New Roman" w:cs="Times New Roman"/>
                <w:b/>
                <w:bCs/>
                <w:i/>
                <w:sz w:val="20"/>
                <w:szCs w:val="20"/>
              </w:rPr>
            </w:pPr>
            <w:r>
              <w:rPr>
                <w:rFonts w:ascii="Times New Roman" w:eastAsia="Times New Roman" w:hAnsi="Times New Roman" w:cs="Times New Roman"/>
                <w:b/>
                <w:bCs/>
                <w:i/>
                <w:sz w:val="20"/>
                <w:szCs w:val="20"/>
              </w:rPr>
              <w:t>2027г.</w:t>
            </w:r>
          </w:p>
        </w:tc>
        <w:tc>
          <w:tcPr>
            <w:tcW w:w="1134" w:type="dxa"/>
            <w:shd w:val="clear" w:color="auto" w:fill="C5E0B3" w:themeFill="accent6" w:themeFillTint="66"/>
            <w:vAlign w:val="center"/>
          </w:tcPr>
          <w:p>
            <w:pPr>
              <w:spacing w:after="0" w:line="240" w:lineRule="auto"/>
              <w:jc w:val="center"/>
              <w:rPr>
                <w:rFonts w:ascii="Times New Roman" w:eastAsia="Times New Roman" w:hAnsi="Times New Roman" w:cs="Times New Roman"/>
                <w:b/>
                <w:bCs/>
                <w:i/>
                <w:sz w:val="20"/>
                <w:szCs w:val="20"/>
              </w:rPr>
            </w:pPr>
            <w:r>
              <w:rPr>
                <w:rFonts w:ascii="Times New Roman" w:eastAsia="Times New Roman" w:hAnsi="Times New Roman" w:cs="Times New Roman"/>
                <w:b/>
                <w:bCs/>
                <w:i/>
                <w:sz w:val="20"/>
                <w:szCs w:val="20"/>
              </w:rPr>
              <w:t>2028г.</w:t>
            </w:r>
          </w:p>
        </w:tc>
        <w:tc>
          <w:tcPr>
            <w:tcW w:w="1559" w:type="dxa"/>
            <w:shd w:val="clear" w:color="auto" w:fill="C5E0B3" w:themeFill="accent6" w:themeFillTint="66"/>
            <w:vAlign w:val="center"/>
          </w:tcPr>
          <w:p>
            <w:pPr>
              <w:spacing w:after="0" w:line="240" w:lineRule="auto"/>
              <w:jc w:val="center"/>
              <w:rPr>
                <w:rFonts w:ascii="Times New Roman" w:eastAsia="Times New Roman" w:hAnsi="Times New Roman" w:cs="Times New Roman"/>
                <w:b/>
                <w:bCs/>
                <w:i/>
                <w:sz w:val="20"/>
                <w:szCs w:val="20"/>
              </w:rPr>
            </w:pPr>
            <w:r>
              <w:rPr>
                <w:rFonts w:ascii="Times New Roman" w:eastAsia="Times New Roman" w:hAnsi="Times New Roman" w:cs="Times New Roman"/>
                <w:b/>
                <w:bCs/>
                <w:i/>
                <w:sz w:val="20"/>
                <w:szCs w:val="20"/>
              </w:rPr>
              <w:t>2029-2038гг.</w:t>
            </w:r>
          </w:p>
        </w:tc>
      </w:tr>
      <w:tr>
        <w:trPr>
          <w:trHeight w:val="110"/>
        </w:trPr>
        <w:tc>
          <w:tcPr>
            <w:tcW w:w="3228" w:type="dxa"/>
            <w:shd w:val="clear" w:color="auto" w:fill="C5E0B3" w:themeFill="accent6" w:themeFillTint="66"/>
            <w:vAlign w:val="center"/>
          </w:tcPr>
          <w:p>
            <w:pPr>
              <w:widowControl w:val="0"/>
              <w:tabs>
                <w:tab w:val="left" w:pos="1459"/>
              </w:tabs>
              <w:spacing w:after="0" w:line="240" w:lineRule="auto"/>
              <w:jc w:val="center"/>
              <w:rPr>
                <w:rFonts w:ascii="Times New Roman" w:hAnsi="Times New Roman"/>
                <w:b/>
                <w:bCs/>
                <w:i/>
                <w:color w:val="FF0000"/>
                <w:sz w:val="20"/>
                <w:szCs w:val="20"/>
              </w:rPr>
            </w:pPr>
            <w:r>
              <w:rPr>
                <w:rFonts w:ascii="Times New Roman" w:hAnsi="Times New Roman"/>
                <w:b/>
                <w:i/>
                <w:sz w:val="20"/>
                <w:szCs w:val="20"/>
              </w:rPr>
              <w:t xml:space="preserve">Котельная </w:t>
            </w:r>
          </w:p>
        </w:tc>
        <w:tc>
          <w:tcPr>
            <w:tcW w:w="1632"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1,4</w:t>
            </w:r>
          </w:p>
        </w:tc>
        <w:tc>
          <w:tcPr>
            <w:tcW w:w="981"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1,4</w:t>
            </w:r>
          </w:p>
        </w:tc>
        <w:tc>
          <w:tcPr>
            <w:tcW w:w="992"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1,4</w:t>
            </w:r>
          </w:p>
        </w:tc>
        <w:tc>
          <w:tcPr>
            <w:tcW w:w="1134"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1,4</w:t>
            </w:r>
          </w:p>
        </w:tc>
        <w:tc>
          <w:tcPr>
            <w:tcW w:w="1559" w:type="dxa"/>
            <w:vAlign w:val="center"/>
          </w:tcPr>
          <w:p>
            <w:pPr>
              <w:spacing w:after="0" w:line="240" w:lineRule="auto"/>
              <w:jc w:val="center"/>
              <w:rPr>
                <w:rFonts w:ascii="Times New Roman" w:hAnsi="Times New Roman"/>
                <w:sz w:val="20"/>
                <w:szCs w:val="20"/>
              </w:rPr>
            </w:pPr>
            <w:r>
              <w:rPr>
                <w:rFonts w:ascii="Times New Roman" w:hAnsi="Times New Roman"/>
                <w:color w:val="000000"/>
                <w:sz w:val="20"/>
                <w:szCs w:val="20"/>
              </w:rPr>
              <w:t>1,4</w:t>
            </w:r>
          </w:p>
        </w:tc>
      </w:tr>
    </w:tbl>
    <w:p>
      <w:pPr>
        <w:autoSpaceDE w:val="0"/>
        <w:autoSpaceDN w:val="0"/>
        <w:adjustRightInd w:val="0"/>
        <w:spacing w:after="0" w:line="240" w:lineRule="auto"/>
        <w:rPr>
          <w:rFonts w:ascii="Times New Roman" w:hAnsi="Times New Roman"/>
          <w:b/>
          <w:i/>
          <w:sz w:val="28"/>
          <w:szCs w:val="28"/>
        </w:rPr>
      </w:pPr>
    </w:p>
    <w:p>
      <w:pPr>
        <w:autoSpaceDE w:val="0"/>
        <w:autoSpaceDN w:val="0"/>
        <w:adjustRightInd w:val="0"/>
        <w:spacing w:after="0" w:line="240" w:lineRule="auto"/>
        <w:rPr>
          <w:rFonts w:ascii="Times New Roman" w:hAnsi="Times New Roman"/>
          <w:b/>
          <w:i/>
          <w:sz w:val="28"/>
          <w:szCs w:val="28"/>
        </w:rPr>
      </w:pP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Зоны действия источников тепловой энергии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расположена в границах одного населенного пункта. </w:t>
      </w:r>
    </w:p>
    <w:p>
      <w:pPr>
        <w:autoSpaceDE w:val="0"/>
        <w:autoSpaceDN w:val="0"/>
        <w:adjustRightInd w:val="0"/>
        <w:spacing w:after="0" w:line="360" w:lineRule="auto"/>
        <w:ind w:firstLine="567"/>
        <w:jc w:val="both"/>
      </w:pPr>
      <w:r>
        <w:rPr>
          <w:rFonts w:ascii="Times New Roman" w:hAnsi="Times New Roman"/>
          <w:sz w:val="28"/>
          <w:szCs w:val="28"/>
        </w:rPr>
        <w:t>Источники тепловой энергии с зоной действия, расположенной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отсутствуют.</w:t>
      </w:r>
      <w:r>
        <w:t xml:space="preserve"> </w:t>
      </w:r>
    </w:p>
    <w:p>
      <w:pPr>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 xml:space="preserve">До конца расчетного периода зоны действия существующей котельной останется в пределах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w:t>
      </w:r>
    </w:p>
    <w:p>
      <w:pPr>
        <w:autoSpaceDE w:val="0"/>
        <w:autoSpaceDN w:val="0"/>
        <w:adjustRightInd w:val="0"/>
        <w:spacing w:after="0" w:line="240" w:lineRule="auto"/>
        <w:ind w:firstLine="567"/>
        <w:jc w:val="both"/>
        <w:rPr>
          <w:rFonts w:ascii="Times New Roman" w:hAnsi="Times New Roman"/>
          <w:sz w:val="28"/>
          <w:szCs w:val="28"/>
        </w:rPr>
      </w:pPr>
    </w:p>
    <w:p>
      <w:pPr>
        <w:autoSpaceDE w:val="0"/>
        <w:autoSpaceDN w:val="0"/>
        <w:adjustRightInd w:val="0"/>
        <w:spacing w:after="0" w:line="240" w:lineRule="auto"/>
        <w:ind w:firstLine="567"/>
        <w:jc w:val="both"/>
        <w:rPr>
          <w:rFonts w:ascii="Times New Roman" w:hAnsi="Times New Roman"/>
          <w:sz w:val="28"/>
          <w:szCs w:val="28"/>
        </w:rPr>
      </w:pPr>
    </w:p>
    <w:p>
      <w:pPr>
        <w:autoSpaceDE w:val="0"/>
        <w:autoSpaceDN w:val="0"/>
        <w:adjustRightInd w:val="0"/>
        <w:spacing w:after="0" w:line="240" w:lineRule="auto"/>
        <w:ind w:firstLine="567"/>
        <w:jc w:val="both"/>
        <w:rPr>
          <w:rFonts w:ascii="Times New Roman" w:hAnsi="Times New Roman"/>
          <w:b/>
          <w:i/>
          <w:sz w:val="28"/>
          <w:szCs w:val="28"/>
        </w:rPr>
        <w:sectPr>
          <w:headerReference w:type="default" r:id="rId8"/>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r>
        <w:rPr>
          <w:rFonts w:ascii="Times New Roman" w:hAnsi="Times New Roman"/>
          <w:b/>
          <w:i/>
          <w:noProof/>
          <w:sz w:val="28"/>
          <w:szCs w:val="28"/>
          <w:lang w:eastAsia="ru-RU"/>
        </w:rPr>
        <w:drawing>
          <wp:inline distT="0" distB="0" distL="0" distR="0">
            <wp:extent cx="5383530" cy="3688715"/>
            <wp:effectExtent l="0" t="0" r="762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83530" cy="3688715"/>
                    </a:xfrm>
                    <a:prstGeom prst="rect">
                      <a:avLst/>
                    </a:prstGeom>
                    <a:noFill/>
                  </pic:spPr>
                </pic:pic>
              </a:graphicData>
            </a:graphic>
          </wp:inline>
        </w:drawing>
      </w:r>
    </w:p>
    <w:p>
      <w:pPr>
        <w:spacing w:after="0" w:line="360" w:lineRule="auto"/>
        <w:ind w:firstLine="567"/>
        <w:jc w:val="both"/>
        <w:rPr>
          <w:rFonts w:ascii="Times New Roman" w:hAnsi="Times New Roman"/>
          <w:sz w:val="28"/>
          <w:szCs w:val="28"/>
        </w:rPr>
      </w:pPr>
      <w:r>
        <w:rPr>
          <w:rFonts w:ascii="Times New Roman" w:hAnsi="Times New Roman"/>
          <w:sz w:val="28"/>
          <w:szCs w:val="28"/>
        </w:rPr>
        <w:lastRenderedPageBreak/>
        <w:t xml:space="preserve">Радиус эффективного теплоснабжения – максимальное расстояние от </w:t>
      </w:r>
      <w:proofErr w:type="spellStart"/>
      <w:r>
        <w:rPr>
          <w:rFonts w:ascii="Times New Roman" w:hAnsi="Times New Roman"/>
          <w:sz w:val="28"/>
          <w:szCs w:val="28"/>
        </w:rPr>
        <w:t>теплопотребляющей</w:t>
      </w:r>
      <w:proofErr w:type="spellEnd"/>
      <w:r>
        <w:rPr>
          <w:rFonts w:ascii="Times New Roman" w:hAnsi="Times New Roman"/>
          <w:sz w:val="28"/>
          <w:szCs w:val="28"/>
        </w:rPr>
        <w:t xml:space="preserve"> установки до ближайшего источника тепловой энергии в системе теплоснабжения, при превышении которого подключение </w:t>
      </w:r>
      <w:proofErr w:type="spellStart"/>
      <w:r>
        <w:rPr>
          <w:rFonts w:ascii="Times New Roman" w:hAnsi="Times New Roman"/>
          <w:sz w:val="28"/>
          <w:szCs w:val="28"/>
        </w:rPr>
        <w:t>теплопотребляющей</w:t>
      </w:r>
      <w:proofErr w:type="spellEnd"/>
      <w:r>
        <w:rPr>
          <w:rFonts w:ascii="Times New Roman" w:hAnsi="Times New Roman"/>
          <w:sz w:val="28"/>
          <w:szCs w:val="28"/>
        </w:rPr>
        <w:t xml:space="preserve"> установки к данной системе теплоснабжения нецелесообразно по причине увеличения совокупных расходов в системе теплоснабжения. </w:t>
      </w:r>
    </w:p>
    <w:p>
      <w:pPr>
        <w:spacing w:after="0" w:line="360" w:lineRule="auto"/>
        <w:ind w:firstLine="567"/>
        <w:jc w:val="both"/>
        <w:rPr>
          <w:rFonts w:ascii="Times New Roman" w:hAnsi="Times New Roman"/>
          <w:sz w:val="28"/>
          <w:szCs w:val="28"/>
        </w:rPr>
      </w:pPr>
      <w:r>
        <w:rPr>
          <w:rFonts w:ascii="Times New Roman" w:hAnsi="Times New Roman"/>
          <w:sz w:val="28"/>
          <w:szCs w:val="28"/>
        </w:rPr>
        <w:t xml:space="preserve">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предполагает расстояние, при котором увеличение доходов равно по величине возрастанию затрат. Для действующего источника тепловой энергии это означает, что удельные затраты (на единицу отпущенной потребителям тепловой энергии) являются минимальными. </w:t>
      </w:r>
    </w:p>
    <w:p>
      <w:pPr>
        <w:spacing w:after="0" w:line="360" w:lineRule="auto"/>
        <w:ind w:firstLine="567"/>
        <w:jc w:val="both"/>
        <w:rPr>
          <w:rFonts w:ascii="Times New Roman" w:hAnsi="Times New Roman"/>
          <w:sz w:val="28"/>
          <w:szCs w:val="28"/>
        </w:rPr>
      </w:pPr>
      <w:r>
        <w:rPr>
          <w:rFonts w:ascii="Times New Roman" w:hAnsi="Times New Roman"/>
          <w:sz w:val="28"/>
          <w:szCs w:val="28"/>
        </w:rPr>
        <w:t xml:space="preserve">Расчет эффективного радиуса теплоснабжения целесообразно выполнять для существующих источников тепловой энергии, имеющих резерв тепловой мощности или подлежащих реконструкции с её увеличением. В случаях же, когда существующая котельная не модернизируется, либо у неё не планируется увеличение количества потребителей с прокладкой новых тепловых сетей, расчёт радиуса эффективного теплоснабжения не актуален.  </w:t>
      </w:r>
    </w:p>
    <w:p>
      <w:pPr>
        <w:spacing w:line="360" w:lineRule="auto"/>
        <w:ind w:firstLine="567"/>
        <w:jc w:val="both"/>
        <w:rPr>
          <w:rFonts w:ascii="Times New Roman" w:hAnsi="Times New Roman"/>
          <w:sz w:val="28"/>
          <w:szCs w:val="28"/>
        </w:rPr>
      </w:pPr>
      <w:r>
        <w:rPr>
          <w:rFonts w:ascii="Times New Roman" w:hAnsi="Times New Roman"/>
          <w:sz w:val="28"/>
          <w:szCs w:val="28"/>
        </w:rPr>
        <w:t>Для перспективных источников выработки тепловой энергии при новом строительстве радиус эффективного теплоснабжения определяется на стадии разработки генеральных планов поселений и проектов планировки земельных участков.</w:t>
      </w:r>
    </w:p>
    <w:p>
      <w:pPr>
        <w:autoSpaceDE w:val="0"/>
        <w:autoSpaceDN w:val="0"/>
        <w:adjustRightInd w:val="0"/>
        <w:spacing w:line="360" w:lineRule="auto"/>
        <w:jc w:val="both"/>
        <w:rPr>
          <w:rFonts w:ascii="Times New Roman" w:eastAsia="Times New Roman,Bold" w:hAnsi="Times New Roman"/>
          <w:b/>
          <w:bCs/>
          <w:i/>
          <w:sz w:val="28"/>
          <w:szCs w:val="28"/>
        </w:rPr>
      </w:pPr>
    </w:p>
    <w:p>
      <w:pPr>
        <w:autoSpaceDE w:val="0"/>
        <w:autoSpaceDN w:val="0"/>
        <w:adjustRightInd w:val="0"/>
        <w:spacing w:line="360" w:lineRule="auto"/>
        <w:jc w:val="both"/>
        <w:rPr>
          <w:rFonts w:ascii="Times New Roman" w:eastAsia="Times New Roman,Bold" w:hAnsi="Times New Roman"/>
          <w:b/>
          <w:bCs/>
          <w:i/>
          <w:sz w:val="28"/>
          <w:szCs w:val="28"/>
        </w:rPr>
      </w:pPr>
    </w:p>
    <w:p>
      <w:pPr>
        <w:autoSpaceDE w:val="0"/>
        <w:autoSpaceDN w:val="0"/>
        <w:adjustRightInd w:val="0"/>
        <w:spacing w:line="360" w:lineRule="auto"/>
        <w:jc w:val="both"/>
        <w:rPr>
          <w:rFonts w:ascii="Times New Roman" w:eastAsia="Times New Roman,Bold" w:hAnsi="Times New Roman"/>
          <w:b/>
          <w:bCs/>
          <w:i/>
          <w:sz w:val="28"/>
          <w:szCs w:val="28"/>
        </w:rPr>
      </w:pPr>
    </w:p>
    <w:p>
      <w:pPr>
        <w:autoSpaceDE w:val="0"/>
        <w:autoSpaceDN w:val="0"/>
        <w:adjustRightInd w:val="0"/>
        <w:spacing w:line="360" w:lineRule="auto"/>
        <w:jc w:val="both"/>
        <w:rPr>
          <w:rFonts w:ascii="Times New Roman" w:eastAsia="Times New Roman,Bold" w:hAnsi="Times New Roman"/>
          <w:b/>
          <w:bCs/>
          <w:i/>
          <w:sz w:val="28"/>
          <w:szCs w:val="28"/>
        </w:rPr>
      </w:pPr>
    </w:p>
    <w:p>
      <w:pPr>
        <w:autoSpaceDE w:val="0"/>
        <w:autoSpaceDN w:val="0"/>
        <w:adjustRightInd w:val="0"/>
        <w:spacing w:after="0" w:line="240" w:lineRule="auto"/>
        <w:jc w:val="center"/>
        <w:rPr>
          <w:rFonts w:ascii="Times New Roman" w:eastAsia="Times New Roman,Bold" w:hAnsi="Times New Roman"/>
          <w:b/>
          <w:bCs/>
          <w:sz w:val="28"/>
          <w:szCs w:val="28"/>
        </w:rPr>
      </w:pPr>
      <w:r>
        <w:rPr>
          <w:rFonts w:ascii="Times New Roman" w:eastAsia="Times New Roman,Bold" w:hAnsi="Times New Roman"/>
          <w:b/>
          <w:bCs/>
          <w:sz w:val="28"/>
          <w:szCs w:val="28"/>
        </w:rPr>
        <w:lastRenderedPageBreak/>
        <w:t>РАЗДЕЛ 3. СУЩЕСТВУЮЩИЕ И ПЕРСПЕКТИВНЫЕ БАЛАНСЫ ТЕПЛОНОСИТЕЛЯ</w:t>
      </w:r>
    </w:p>
    <w:p>
      <w:pPr>
        <w:autoSpaceDE w:val="0"/>
        <w:autoSpaceDN w:val="0"/>
        <w:adjustRightInd w:val="0"/>
        <w:spacing w:line="360" w:lineRule="auto"/>
        <w:jc w:val="both"/>
        <w:rPr>
          <w:rFonts w:ascii="Times New Roman" w:eastAsia="Times New Roman,Bold" w:hAnsi="Times New Roman"/>
          <w:b/>
          <w:bCs/>
          <w:i/>
          <w:sz w:val="28"/>
          <w:szCs w:val="28"/>
        </w:rPr>
      </w:pPr>
    </w:p>
    <w:p>
      <w:pPr>
        <w:autoSpaceDE w:val="0"/>
        <w:autoSpaceDN w:val="0"/>
        <w:adjustRightInd w:val="0"/>
        <w:spacing w:line="360" w:lineRule="auto"/>
        <w:jc w:val="both"/>
        <w:rPr>
          <w:rFonts w:ascii="Times New Roman" w:eastAsia="Times New Roman,Bold" w:hAnsi="Times New Roman"/>
          <w:b/>
          <w:bCs/>
          <w:i/>
          <w:sz w:val="28"/>
          <w:szCs w:val="28"/>
        </w:rPr>
      </w:pP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Перспективные   балансы   производительности   водоподготовительных установок и максимального потребления теплоносителя </w:t>
      </w:r>
      <w:proofErr w:type="spellStart"/>
      <w:r>
        <w:rPr>
          <w:rFonts w:ascii="Times New Roman" w:eastAsia="Times New Roman" w:hAnsi="Times New Roman" w:cs="Times New Roman"/>
          <w:sz w:val="28"/>
          <w:szCs w:val="28"/>
        </w:rPr>
        <w:t>теплопотребляющими</w:t>
      </w:r>
      <w:proofErr w:type="spellEnd"/>
      <w:r>
        <w:rPr>
          <w:rFonts w:ascii="Times New Roman" w:eastAsia="Times New Roman" w:hAnsi="Times New Roman" w:cs="Times New Roman"/>
          <w:sz w:val="28"/>
          <w:szCs w:val="28"/>
        </w:rPr>
        <w:t xml:space="preserve"> установками потребителей определены расчетами нормативного потребления воды и теплоносителя с учетом существующих и перспективных тепловых нагрузок котельных.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в закрытых системах теплоснабжения </w:t>
      </w:r>
      <w:proofErr w:type="gramStart"/>
      <w:r>
        <w:rPr>
          <w:rFonts w:ascii="Times New Roman" w:eastAsia="Times New Roman" w:hAnsi="Times New Roman" w:cs="Times New Roman"/>
          <w:sz w:val="28"/>
          <w:szCs w:val="28"/>
        </w:rPr>
        <w:t>–  0</w:t>
      </w:r>
      <w:proofErr w:type="gramEnd"/>
      <w:r>
        <w:rPr>
          <w:rFonts w:ascii="Times New Roman" w:eastAsia="Times New Roman" w:hAnsi="Times New Roman" w:cs="Times New Roman"/>
          <w:sz w:val="28"/>
          <w:szCs w:val="28"/>
        </w:rPr>
        <w:t xml:space="preserve">,75%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0,54 % объема воды в этих трубопроводах;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в открытых системах теплоснабжения </w:t>
      </w:r>
      <w:proofErr w:type="gramStart"/>
      <w:r>
        <w:rPr>
          <w:rFonts w:ascii="Times New Roman" w:eastAsia="Times New Roman" w:hAnsi="Times New Roman" w:cs="Times New Roman"/>
          <w:sz w:val="28"/>
          <w:szCs w:val="28"/>
        </w:rPr>
        <w:t>–  равным</w:t>
      </w:r>
      <w:proofErr w:type="gramEnd"/>
      <w:r>
        <w:rPr>
          <w:rFonts w:ascii="Times New Roman" w:eastAsia="Times New Roman" w:hAnsi="Times New Roman" w:cs="Times New Roman"/>
          <w:sz w:val="28"/>
          <w:szCs w:val="28"/>
        </w:rPr>
        <w:t xml:space="preserve"> расчетному среднему расходу воды на горячее водоснабжение с коэффициентом 1,2 плюс 0,75%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0,54% объема воды в этих трубопроводах;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для отдельных тепловых сетей горячего водоснабжения: при наличии баков-аккумуляторов </w:t>
      </w:r>
      <w:proofErr w:type="gramStart"/>
      <w:r>
        <w:rPr>
          <w:rFonts w:ascii="Times New Roman" w:eastAsia="Times New Roman" w:hAnsi="Times New Roman" w:cs="Times New Roman"/>
          <w:sz w:val="28"/>
          <w:szCs w:val="28"/>
        </w:rPr>
        <w:t>–  равным</w:t>
      </w:r>
      <w:proofErr w:type="gramEnd"/>
      <w:r>
        <w:rPr>
          <w:rFonts w:ascii="Times New Roman" w:eastAsia="Times New Roman" w:hAnsi="Times New Roman" w:cs="Times New Roman"/>
          <w:sz w:val="28"/>
          <w:szCs w:val="28"/>
        </w:rPr>
        <w:t xml:space="preserve"> расчетному среднему расходу воды на горячее водоснабжение с коэффициентом 1,2;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при отсутствии баков – по максимальному расходу воды на горячее водоснабжение плюс (в обоих случаях) 0,75% фактического объема воды в </w:t>
      </w:r>
      <w:r>
        <w:rPr>
          <w:rFonts w:ascii="Times New Roman" w:eastAsia="Times New Roman" w:hAnsi="Times New Roman" w:cs="Times New Roman"/>
          <w:sz w:val="28"/>
          <w:szCs w:val="28"/>
        </w:rPr>
        <w:lastRenderedPageBreak/>
        <w:t xml:space="preserve">трубопроводах сетей и присоединенных к ним системах горячего водоснабжения зданий.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открытых и закрытых систем теплоснабжения должна предусматриваться   дополнительно аварийная   подпитка   химически   не   обработанной и </w:t>
      </w:r>
      <w:proofErr w:type="spellStart"/>
      <w:r>
        <w:rPr>
          <w:rFonts w:ascii="Times New Roman" w:eastAsia="Times New Roman" w:hAnsi="Times New Roman" w:cs="Times New Roman"/>
          <w:sz w:val="28"/>
          <w:szCs w:val="28"/>
        </w:rPr>
        <w:t>недеаэрированной</w:t>
      </w:r>
      <w:proofErr w:type="spellEnd"/>
      <w:r>
        <w:rPr>
          <w:rFonts w:ascii="Times New Roman" w:eastAsia="Times New Roman" w:hAnsi="Times New Roman" w:cs="Times New Roman"/>
          <w:sz w:val="28"/>
          <w:szCs w:val="28"/>
        </w:rPr>
        <w:t xml:space="preserve">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Объем воды в системах теплоснабжения   при отсутствии данных по фактическим объемам воды допускается принимать равным 65 м3 на 1 МВт расчетной тепловой нагрузки при закрытой системе теплоснабжения, 70 м3 на 1МВт – при открытой системе и 30 м3 на 1МВт средней нагрузки – при отдельных сетях горячего водоснабжения.  </w:t>
      </w:r>
    </w:p>
    <w:p>
      <w:pPr>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Размещение   баков-аккумуляторов   горячей   воды   возможно   как   на источнике теплоты, так и в районах теплопотребления. При этом на источнике теплоты должны предусматриваться баки-аккумуляторы вместимостью не менее 25% общей расчетной вместимости баков.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 </w:t>
      </w:r>
    </w:p>
    <w:p>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открытых систем теплоснабжения, а также при отдельных тепловых сетях на горячее водоснабжение должны предусматриваться баки-аккумуляторы химически   обработанной   и   </w:t>
      </w:r>
      <w:proofErr w:type="spellStart"/>
      <w:r>
        <w:rPr>
          <w:rFonts w:ascii="Times New Roman" w:eastAsia="Times New Roman" w:hAnsi="Times New Roman" w:cs="Times New Roman"/>
          <w:sz w:val="28"/>
          <w:szCs w:val="28"/>
        </w:rPr>
        <w:t>деаэрированной</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подпиточной</w:t>
      </w:r>
      <w:proofErr w:type="spellEnd"/>
      <w:r>
        <w:rPr>
          <w:rFonts w:ascii="Times New Roman" w:eastAsia="Times New Roman" w:hAnsi="Times New Roman" w:cs="Times New Roman"/>
          <w:sz w:val="28"/>
          <w:szCs w:val="28"/>
        </w:rPr>
        <w:t xml:space="preserve"> воды, расчетной вместимостью равной десятикратной величине среднечасового расхода воды на горячее водоснабжение.  </w:t>
      </w:r>
    </w:p>
    <w:p>
      <w:pPr>
        <w:spacing w:after="0" w:line="360" w:lineRule="auto"/>
        <w:ind w:firstLine="709"/>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lastRenderedPageBreak/>
        <w:t xml:space="preserve">В закрытых системах теплоснабжения на источниках теплоты мощностью 100МВт и более следует предусматривать установку баков запаса химически обработанной и </w:t>
      </w:r>
      <w:proofErr w:type="spellStart"/>
      <w:r>
        <w:rPr>
          <w:rFonts w:ascii="Times New Roman" w:eastAsia="Times New Roman" w:hAnsi="Times New Roman" w:cs="Times New Roman"/>
          <w:sz w:val="26"/>
          <w:szCs w:val="26"/>
        </w:rPr>
        <w:t>деаэрированной</w:t>
      </w:r>
      <w:proofErr w:type="spellEnd"/>
      <w:r>
        <w:rPr>
          <w:rFonts w:ascii="Times New Roman" w:eastAsia="Times New Roman" w:hAnsi="Times New Roman" w:cs="Times New Roman"/>
          <w:sz w:val="26"/>
          <w:szCs w:val="26"/>
        </w:rPr>
        <w:t xml:space="preserve"> </w:t>
      </w:r>
      <w:proofErr w:type="spellStart"/>
      <w:r>
        <w:rPr>
          <w:rFonts w:ascii="Times New Roman" w:eastAsia="Times New Roman" w:hAnsi="Times New Roman" w:cs="Times New Roman"/>
          <w:sz w:val="26"/>
          <w:szCs w:val="26"/>
        </w:rPr>
        <w:t>подпиточной</w:t>
      </w:r>
      <w:proofErr w:type="spellEnd"/>
      <w:r>
        <w:rPr>
          <w:rFonts w:ascii="Times New Roman" w:eastAsia="Times New Roman" w:hAnsi="Times New Roman" w:cs="Times New Roman"/>
          <w:sz w:val="26"/>
          <w:szCs w:val="26"/>
        </w:rPr>
        <w:t xml:space="preserve"> воды вместимостью 3% объема воды в системе теплоснабжения, при этом должно обеспечиваться обновление воды в баках. Число баков независимо от системы теплоснабжения принимается не менее двух по 50% рабочего объема.  </w:t>
      </w:r>
    </w:p>
    <w:p>
      <w:pPr>
        <w:spacing w:after="0" w:line="360" w:lineRule="auto"/>
        <w:ind w:firstLine="709"/>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В СЦТ с теплопроводами любой протяженности от источника теплоты до районов теплопотребления допускается использование теплопроводов в качестве аккумулирующих емкостей.  </w:t>
      </w: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spacing w:after="0" w:line="360" w:lineRule="auto"/>
        <w:ind w:firstLine="709"/>
        <w:jc w:val="both"/>
        <w:rPr>
          <w:rFonts w:ascii="Times New Roman" w:eastAsia="Times New Roman" w:hAnsi="Times New Roman" w:cs="Times New Roman"/>
          <w:sz w:val="26"/>
          <w:szCs w:val="26"/>
        </w:rPr>
      </w:pPr>
    </w:p>
    <w:p>
      <w:pPr>
        <w:autoSpaceDE w:val="0"/>
        <w:autoSpaceDN w:val="0"/>
        <w:adjustRightInd w:val="0"/>
        <w:spacing w:before="240" w:line="240" w:lineRule="auto"/>
        <w:jc w:val="center"/>
        <w:rPr>
          <w:rFonts w:ascii="Times New Roman" w:eastAsia="Times New Roman,Bold" w:hAnsi="Times New Roman"/>
          <w:b/>
          <w:bCs/>
          <w:sz w:val="28"/>
          <w:szCs w:val="28"/>
        </w:rPr>
      </w:pPr>
      <w:r>
        <w:rPr>
          <w:rFonts w:ascii="Times New Roman" w:eastAsia="Times New Roman,Bold" w:hAnsi="Times New Roman"/>
          <w:b/>
          <w:bCs/>
          <w:sz w:val="28"/>
          <w:szCs w:val="28"/>
        </w:rPr>
        <w:lastRenderedPageBreak/>
        <w:t>РАЗДЕЛ 4. ОСНОВНЫЕ ПОЛОЖЕНИЯ МАСТЕР-ПЛАНА РАЗВИТИЯ СИСТЕМ ТЕПЛОСНАБЖЕНИЯ ПОСЕЛЕНИЯ</w:t>
      </w:r>
    </w:p>
    <w:p>
      <w:pPr>
        <w:autoSpaceDE w:val="0"/>
        <w:autoSpaceDN w:val="0"/>
        <w:adjustRightInd w:val="0"/>
        <w:spacing w:after="0" w:line="360" w:lineRule="auto"/>
        <w:ind w:firstLine="567"/>
        <w:jc w:val="both"/>
        <w:rPr>
          <w:rFonts w:ascii="Times New Roman" w:eastAsia="Times New Roman,Bold" w:hAnsi="Times New Roman"/>
          <w:sz w:val="26"/>
          <w:szCs w:val="26"/>
        </w:rPr>
      </w:pPr>
      <w:r>
        <w:rPr>
          <w:rFonts w:ascii="Times New Roman" w:eastAsia="Times New Roman,Bold" w:hAnsi="Times New Roman"/>
          <w:sz w:val="26"/>
          <w:szCs w:val="26"/>
        </w:rPr>
        <w:t>Содержание, формат, объем мастер-плана в значительной степени варьируются в разных населенных пунктах и существенным образом зависят от тех целей и задач, которые стоят перед его разработчиками. В крупных городах администрации могут создавать целые департаменты, ответственные за разработку мастер-плана, а небольшие поселения вполне могут доверить эту работу специализированным консультантам.</w:t>
      </w:r>
    </w:p>
    <w:p>
      <w:pPr>
        <w:autoSpaceDE w:val="0"/>
        <w:autoSpaceDN w:val="0"/>
        <w:adjustRightInd w:val="0"/>
        <w:spacing w:after="0" w:line="360" w:lineRule="auto"/>
        <w:ind w:firstLine="567"/>
        <w:jc w:val="both"/>
        <w:rPr>
          <w:rFonts w:ascii="Times New Roman" w:eastAsia="Times New Roman,Bold" w:hAnsi="Times New Roman"/>
          <w:sz w:val="26"/>
          <w:szCs w:val="26"/>
        </w:rPr>
      </w:pPr>
      <w:r>
        <w:rPr>
          <w:rFonts w:ascii="Times New Roman" w:eastAsia="Times New Roman,Bold" w:hAnsi="Times New Roman"/>
          <w:sz w:val="26"/>
          <w:szCs w:val="26"/>
        </w:rPr>
        <w:t>Универсальность мастер-плана позволяет использовать его для решения широкого спектра задач. Основной акцент делается на актуализации существующих объектов и развитии новых объектов. Многие проблемы объектов были накоплены еще с советских времен и только усугубились в современный период. Для решения многих проблем используется стратегический мастер-план.</w:t>
      </w:r>
    </w:p>
    <w:p>
      <w:pPr>
        <w:autoSpaceDE w:val="0"/>
        <w:autoSpaceDN w:val="0"/>
        <w:adjustRightInd w:val="0"/>
        <w:spacing w:line="240" w:lineRule="auto"/>
        <w:jc w:val="center"/>
        <w:rPr>
          <w:rFonts w:ascii="Times New Roman" w:hAnsi="Times New Roman"/>
          <w:b/>
          <w:iCs/>
          <w:color w:val="000000" w:themeColor="text1"/>
          <w:sz w:val="28"/>
          <w:szCs w:val="28"/>
        </w:rPr>
      </w:pPr>
      <w:r>
        <w:rPr>
          <w:rFonts w:ascii="Times New Roman" w:hAnsi="Times New Roman"/>
          <w:b/>
          <w:iCs/>
          <w:color w:val="000000" w:themeColor="text1"/>
          <w:sz w:val="28"/>
          <w:szCs w:val="28"/>
        </w:rPr>
        <w:t>4.1 Описание сценариев развития теплоснабжения поселения</w:t>
      </w:r>
    </w:p>
    <w:p>
      <w:pPr>
        <w:suppressAutoHyphens/>
        <w:spacing w:line="360" w:lineRule="auto"/>
        <w:ind w:firstLine="709"/>
        <w:contextualSpacing/>
        <w:jc w:val="both"/>
        <w:rPr>
          <w:rFonts w:ascii="Times New Roman" w:hAnsi="Times New Roman"/>
          <w:b/>
          <w:i/>
          <w:sz w:val="28"/>
          <w:szCs w:val="28"/>
        </w:rPr>
      </w:pPr>
      <w:r>
        <w:rPr>
          <w:rFonts w:ascii="Times New Roman" w:hAnsi="Times New Roman"/>
          <w:b/>
          <w:i/>
          <w:sz w:val="28"/>
          <w:szCs w:val="28"/>
        </w:rPr>
        <w:t>Вариант №1</w:t>
      </w:r>
    </w:p>
    <w:p>
      <w:pPr>
        <w:suppressAutoHyphens/>
        <w:spacing w:line="360" w:lineRule="auto"/>
        <w:ind w:firstLine="709"/>
        <w:contextualSpacing/>
        <w:jc w:val="both"/>
        <w:rPr>
          <w:rFonts w:ascii="Times New Roman" w:hAnsi="Times New Roman"/>
          <w:sz w:val="28"/>
          <w:szCs w:val="28"/>
        </w:rPr>
      </w:pPr>
      <w:r>
        <w:rPr>
          <w:rFonts w:ascii="Times New Roman" w:hAnsi="Times New Roman"/>
          <w:sz w:val="28"/>
          <w:szCs w:val="28"/>
        </w:rPr>
        <w:t>Техническое обслуживание с устранением мелких неисправностей, капитальный ремонт, перекладка тепловых сетей (выработавших нормативный ресурс), способствующие нормативной эксплуатации. Переоснащение, ремонт источников тс. Перекладка тепловых сетей с изменением диаметра тепловой сети для поддержания нормативного уровня давления и обеспечения прироста тепловой нагрузки потребителей.</w:t>
      </w:r>
    </w:p>
    <w:p>
      <w:pPr>
        <w:suppressAutoHyphens/>
        <w:spacing w:line="360" w:lineRule="auto"/>
        <w:ind w:firstLine="709"/>
        <w:contextualSpacing/>
        <w:jc w:val="both"/>
        <w:rPr>
          <w:rFonts w:ascii="Times New Roman" w:hAnsi="Times New Roman"/>
          <w:b/>
          <w:i/>
          <w:sz w:val="28"/>
          <w:szCs w:val="28"/>
        </w:rPr>
      </w:pPr>
      <w:r>
        <w:rPr>
          <w:rFonts w:ascii="Times New Roman" w:hAnsi="Times New Roman"/>
          <w:b/>
          <w:i/>
          <w:sz w:val="28"/>
          <w:szCs w:val="28"/>
        </w:rPr>
        <w:t>Вариант №2</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Капитальный ремонт тепловых сетей с изменением диаметра тепловой сети для поддержания нормативного уровня давления.</w:t>
      </w:r>
    </w:p>
    <w:p>
      <w:pPr>
        <w:suppressAutoHyphens/>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Для повышения уровня надежности теплоснабжения, сокращения тепловых потерь в сетях предлагается в период с 2023 по 2037 годы во время проведения ремонтных компаний производить техническое обслуживание с устранением мелких неисправностей, капитальный ремонт, перекладку тепловых сетей (выработавших нормативный ресурс), для поддержания нормативного уровня эксплуатации. Переоснащение, ремонт источников ТС. Перекладка тепловых сетей с изменением диаметра тепловой сети для </w:t>
      </w:r>
      <w:r>
        <w:rPr>
          <w:rFonts w:ascii="Times New Roman" w:hAnsi="Times New Roman"/>
          <w:sz w:val="28"/>
          <w:szCs w:val="28"/>
        </w:rPr>
        <w:lastRenderedPageBreak/>
        <w:t>поддержания нормативного уровня давления и обеспечения прироста тепловой нагрузки потребителей.</w:t>
      </w:r>
    </w:p>
    <w:p>
      <w:pPr>
        <w:suppressAutoHyphens/>
        <w:spacing w:line="360" w:lineRule="auto"/>
        <w:ind w:firstLine="709"/>
        <w:contextualSpacing/>
        <w:jc w:val="both"/>
        <w:rPr>
          <w:rFonts w:ascii="Times New Roman" w:hAnsi="Times New Roman"/>
          <w:sz w:val="28"/>
          <w:szCs w:val="28"/>
        </w:rPr>
      </w:pPr>
      <w:r>
        <w:rPr>
          <w:rFonts w:ascii="Times New Roman" w:hAnsi="Times New Roman" w:cs="Times New Roman"/>
          <w:sz w:val="28"/>
          <w:szCs w:val="28"/>
        </w:rPr>
        <w:t xml:space="preserve">Для реализации варианта №1 производится </w:t>
      </w:r>
      <w:r>
        <w:rPr>
          <w:rFonts w:ascii="Times New Roman" w:hAnsi="Times New Roman"/>
          <w:sz w:val="28"/>
          <w:szCs w:val="28"/>
        </w:rPr>
        <w:t>техническое обслуживание с устранением мелких неисправностей, капитальный ремонт, перекладку тепловых сетей (выработавших нормативный ресурс), для поддержания нормативного уровня эксплуатации. Переоснащение, ремонт источников ТС. Перекладка тепловых сетей с изменением диаметра тепловой сети для поддержания нормативного уровня давления и обеспечения прироста тепловой нагрузки потребителей.</w:t>
      </w: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p>
    <w:p>
      <w:pPr>
        <w:suppressAutoHyphens/>
        <w:spacing w:line="360" w:lineRule="auto"/>
        <w:ind w:firstLine="709"/>
        <w:contextualSpacing/>
        <w:jc w:val="both"/>
        <w:rPr>
          <w:rFonts w:ascii="Times New Roman" w:hAnsi="Times New Roman"/>
          <w:sz w:val="28"/>
          <w:szCs w:val="28"/>
        </w:rPr>
      </w:pPr>
      <w:r>
        <w:rPr>
          <w:rFonts w:ascii="Times New Roman" w:eastAsia="Times New Roman,Bold" w:hAnsi="Times New Roman"/>
          <w:b/>
          <w:bCs/>
          <w:sz w:val="28"/>
          <w:szCs w:val="28"/>
        </w:rPr>
        <w:lastRenderedPageBreak/>
        <w:t>РАЗДЕЛ 5. ПРЕДЛОЖЕНИЯ ПО СТРОИТЕЛЬСТВУ, РЕКОНСТРУКЦИИ, ТЕХНИЧЕСКОМУ ПЕРЕВООРУЖЕНИЮ И (ИЛИ) МОДЕРНИЗАЦИИ ИСТОЧНИКОВ ТЕПЛОВОЙ ЭНЕРГИИ</w:t>
      </w:r>
    </w:p>
    <w:p>
      <w:pPr>
        <w:spacing w:after="0" w:line="360" w:lineRule="auto"/>
        <w:ind w:firstLine="567"/>
        <w:jc w:val="both"/>
        <w:rPr>
          <w:rFonts w:ascii="Times New Roman" w:eastAsia="Times New Roman,Bold" w:hAnsi="Times New Roman"/>
          <w:iCs/>
          <w:sz w:val="28"/>
          <w:szCs w:val="28"/>
        </w:rPr>
      </w:pPr>
      <w:r>
        <w:rPr>
          <w:rFonts w:ascii="Times New Roman" w:eastAsia="Times New Roman,Bold" w:hAnsi="Times New Roman"/>
          <w:iCs/>
          <w:sz w:val="28"/>
          <w:szCs w:val="28"/>
        </w:rPr>
        <w:t>Строительство источников тепловой энергии, обеспечивающих перспективную тепловую нагрузку на осваиваемых территориях поселения не требуется.</w:t>
      </w:r>
    </w:p>
    <w:p>
      <w:pPr>
        <w:spacing w:line="360" w:lineRule="auto"/>
        <w:ind w:firstLine="567"/>
        <w:jc w:val="both"/>
        <w:rPr>
          <w:rFonts w:ascii="Times New Roman" w:hAnsi="Times New Roman"/>
          <w:sz w:val="28"/>
          <w:szCs w:val="28"/>
          <w:lang w:eastAsia="ar-SA"/>
        </w:rPr>
      </w:pPr>
      <w:r>
        <w:rPr>
          <w:rFonts w:ascii="Times New Roman" w:hAnsi="Times New Roman"/>
          <w:sz w:val="28"/>
          <w:szCs w:val="28"/>
        </w:rPr>
        <w:t xml:space="preserve"> Возобновляемые источники энергии вводится не будут.</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Источники тепловой энергии, функционирующих в режиме комбинированной выработки электрической и тепловой энергии, а также котельная, работающие совместно на единую тепловую сеть, отсутствуют. </w:t>
      </w:r>
    </w:p>
    <w:p>
      <w:pPr>
        <w:autoSpaceDE w:val="0"/>
        <w:autoSpaceDN w:val="0"/>
        <w:adjustRightInd w:val="0"/>
        <w:spacing w:line="360" w:lineRule="auto"/>
        <w:jc w:val="both"/>
        <w:rPr>
          <w:rFonts w:ascii="Times New Roman" w:eastAsia="Times New Roman,Bold" w:hAnsi="Times New Roman"/>
          <w:b/>
          <w:bCs/>
          <w:i/>
          <w:sz w:val="28"/>
          <w:szCs w:val="28"/>
        </w:rPr>
      </w:pPr>
    </w:p>
    <w:p>
      <w:pPr>
        <w:autoSpaceDE w:val="0"/>
        <w:autoSpaceDN w:val="0"/>
        <w:adjustRightInd w:val="0"/>
        <w:spacing w:after="0" w:line="360" w:lineRule="auto"/>
        <w:ind w:firstLine="567"/>
        <w:jc w:val="both"/>
        <w:rPr>
          <w:rFonts w:ascii="Times New Roman" w:hAnsi="Times New Roman"/>
          <w:sz w:val="28"/>
          <w:szCs w:val="28"/>
        </w:rPr>
      </w:pPr>
      <w:bookmarkStart w:id="5" w:name="_Toc448323244"/>
      <w:r>
        <w:rPr>
          <w:rFonts w:ascii="Times New Roman" w:hAnsi="Times New Roman"/>
          <w:sz w:val="28"/>
          <w:szCs w:val="28"/>
        </w:rPr>
        <w:t>Мер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не требуется.</w:t>
      </w:r>
      <w:bookmarkEnd w:id="5"/>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Меры по переоборудованию котельных в источники комбинированной выработки электрической и тепловой энергии на расчетный период не требуется. Собственные нужды (электрическое потребление) котельных компенсируются существующим электроснабжением. Оборудование, позволяющее осуществлять комбинированную выработку электрической энергии, будет крайне нерентабельно. </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Зоны действия источников комбинированной выработки тепловой и электрической энергии на территории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отсутствуют, существующие котельная не расположены в их зонах. </w:t>
      </w:r>
    </w:p>
    <w:p>
      <w:pPr>
        <w:autoSpaceDE w:val="0"/>
        <w:autoSpaceDN w:val="0"/>
        <w:adjustRightInd w:val="0"/>
        <w:spacing w:after="0" w:line="360" w:lineRule="auto"/>
        <w:ind w:firstLine="567"/>
        <w:jc w:val="both"/>
        <w:rPr>
          <w:rFonts w:ascii="Times New Roman" w:hAnsi="Times New Roman"/>
          <w:sz w:val="28"/>
          <w:szCs w:val="24"/>
        </w:rPr>
      </w:pPr>
      <w:r>
        <w:rPr>
          <w:rFonts w:ascii="Times New Roman" w:hAnsi="Times New Roman"/>
          <w:sz w:val="28"/>
          <w:szCs w:val="24"/>
        </w:rPr>
        <w:t>Оптимальный температурный график системы теплоснабжения для источников тепловой энергии остается прежним на расчетный период до 2038 г. с температурным режимом 95-70 °С.</w:t>
      </w:r>
    </w:p>
    <w:p>
      <w:pPr>
        <w:autoSpaceDE w:val="0"/>
        <w:autoSpaceDN w:val="0"/>
        <w:adjustRightInd w:val="0"/>
        <w:spacing w:after="0" w:line="360" w:lineRule="auto"/>
        <w:ind w:firstLine="567"/>
        <w:jc w:val="both"/>
        <w:rPr>
          <w:rFonts w:ascii="Times New Roman" w:hAnsi="Times New Roman"/>
          <w:sz w:val="28"/>
          <w:szCs w:val="24"/>
        </w:rPr>
      </w:pPr>
      <w:r>
        <w:rPr>
          <w:rFonts w:ascii="Times New Roman" w:hAnsi="Times New Roman"/>
          <w:sz w:val="28"/>
          <w:szCs w:val="24"/>
        </w:rPr>
        <w:t xml:space="preserve">Необходимость его изменения отсутствует. Оптимальный температурный график отпуска тепловой энергии для котельных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w:t>
      </w:r>
      <w:r>
        <w:rPr>
          <w:rFonts w:ascii="Times New Roman" w:hAnsi="Times New Roman"/>
          <w:sz w:val="28"/>
          <w:szCs w:val="28"/>
        </w:rPr>
        <w:lastRenderedPageBreak/>
        <w:t>Минусинского района</w:t>
      </w:r>
      <w:r>
        <w:rPr>
          <w:rFonts w:ascii="Times New Roman" w:hAnsi="Times New Roman"/>
          <w:sz w:val="28"/>
          <w:szCs w:val="24"/>
        </w:rPr>
        <w:t xml:space="preserve">, сохранится на всех этапах расчетного периода. Оптимальный температурный график отпуска тепловой энергии для муниципальной котельной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w:t>
      </w:r>
      <w:r>
        <w:rPr>
          <w:rFonts w:ascii="Times New Roman" w:hAnsi="Times New Roman"/>
          <w:sz w:val="28"/>
          <w:szCs w:val="24"/>
        </w:rPr>
        <w:t>, сохранится на всех этапах расчетного периода.</w:t>
      </w:r>
    </w:p>
    <w:p>
      <w:pPr>
        <w:autoSpaceDE w:val="0"/>
        <w:autoSpaceDN w:val="0"/>
        <w:adjustRightInd w:val="0"/>
        <w:spacing w:after="0" w:line="240" w:lineRule="auto"/>
        <w:jc w:val="center"/>
        <w:rPr>
          <w:rFonts w:ascii="Times New Roman" w:hAnsi="Times New Roman"/>
          <w:b/>
          <w:i/>
          <w:sz w:val="28"/>
          <w:szCs w:val="24"/>
        </w:rPr>
      </w:pPr>
      <w:r>
        <w:rPr>
          <w:rFonts w:ascii="Times New Roman" w:hAnsi="Times New Roman"/>
          <w:b/>
          <w:i/>
          <w:noProof/>
          <w:sz w:val="28"/>
          <w:szCs w:val="24"/>
          <w:lang w:eastAsia="ru-RU"/>
        </w:rPr>
        <w:drawing>
          <wp:inline distT="0" distB="0" distL="0" distR="0">
            <wp:extent cx="5267325" cy="7444105"/>
            <wp:effectExtent l="0" t="0" r="9525"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7325" cy="7444105"/>
                    </a:xfrm>
                    <a:prstGeom prst="rect">
                      <a:avLst/>
                    </a:prstGeom>
                    <a:noFill/>
                  </pic:spPr>
                </pic:pic>
              </a:graphicData>
            </a:graphic>
          </wp:inline>
        </w:drawing>
      </w:r>
    </w:p>
    <w:p>
      <w:pPr>
        <w:autoSpaceDE w:val="0"/>
        <w:autoSpaceDN w:val="0"/>
        <w:adjustRightInd w:val="0"/>
        <w:spacing w:after="0" w:line="240" w:lineRule="auto"/>
        <w:jc w:val="center"/>
        <w:rPr>
          <w:rFonts w:ascii="Times New Roman" w:hAnsi="Times New Roman"/>
          <w:b/>
          <w:i/>
          <w:sz w:val="28"/>
          <w:szCs w:val="24"/>
        </w:rPr>
        <w:sectPr>
          <w:type w:val="continuous"/>
          <w:pgSz w:w="11906" w:h="16838" w:code="9"/>
          <w:pgMar w:top="1134" w:right="851" w:bottom="1418"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autoSpaceDE w:val="0"/>
        <w:autoSpaceDN w:val="0"/>
        <w:adjustRightInd w:val="0"/>
        <w:spacing w:line="360" w:lineRule="auto"/>
        <w:jc w:val="both"/>
        <w:rPr>
          <w:rFonts w:ascii="Times New Roman" w:eastAsia="Times New Roman,Bold" w:hAnsi="Times New Roman"/>
          <w:b/>
          <w:bCs/>
          <w:i/>
          <w:sz w:val="28"/>
          <w:szCs w:val="28"/>
        </w:rPr>
      </w:pPr>
    </w:p>
    <w:p>
      <w:pPr>
        <w:autoSpaceDE w:val="0"/>
        <w:autoSpaceDN w:val="0"/>
        <w:adjustRightInd w:val="0"/>
        <w:spacing w:line="360" w:lineRule="auto"/>
        <w:ind w:firstLine="567"/>
        <w:jc w:val="both"/>
        <w:rPr>
          <w:rFonts w:ascii="Times New Roman" w:hAnsi="Times New Roman"/>
          <w:color w:val="000000"/>
          <w:sz w:val="28"/>
          <w:szCs w:val="28"/>
        </w:rPr>
      </w:pPr>
      <w:r>
        <w:rPr>
          <w:rFonts w:ascii="Times New Roman" w:eastAsia="Times New Roman,Bold" w:hAnsi="Times New Roman"/>
          <w:sz w:val="28"/>
          <w:szCs w:val="28"/>
        </w:rPr>
        <w:tab/>
      </w:r>
      <w:r>
        <w:rPr>
          <w:rFonts w:ascii="Times New Roman" w:hAnsi="Times New Roman"/>
          <w:color w:val="000000"/>
          <w:sz w:val="28"/>
          <w:szCs w:val="28"/>
        </w:rPr>
        <w:t>Перспективная установленная тепловая мощность каждого источника тепловой энергии с учетом аварийного и перспективного резерва тепловой мощности остается на прежнем уровне на расчетный период до 2038 г. Ввод в эксплуатацию новых мощностей не требуется.</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до конца расчетного периода не ожидается.</w:t>
      </w: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line="360" w:lineRule="auto"/>
        <w:ind w:firstLine="567"/>
        <w:jc w:val="both"/>
        <w:rPr>
          <w:rFonts w:ascii="Times New Roman" w:hAnsi="Times New Roman"/>
          <w:sz w:val="28"/>
          <w:szCs w:val="28"/>
        </w:rPr>
      </w:pPr>
    </w:p>
    <w:p>
      <w:pPr>
        <w:autoSpaceDE w:val="0"/>
        <w:autoSpaceDN w:val="0"/>
        <w:adjustRightInd w:val="0"/>
        <w:spacing w:after="0" w:line="240" w:lineRule="auto"/>
        <w:jc w:val="center"/>
        <w:rPr>
          <w:rFonts w:ascii="Times New Roman" w:eastAsia="Times New Roman,Bold" w:hAnsi="Times New Roman"/>
          <w:b/>
          <w:bCs/>
          <w:sz w:val="28"/>
          <w:szCs w:val="28"/>
        </w:rPr>
      </w:pPr>
      <w:r>
        <w:rPr>
          <w:rFonts w:ascii="Times New Roman" w:eastAsia="Times New Roman,Bold" w:hAnsi="Times New Roman"/>
          <w:b/>
          <w:bCs/>
          <w:sz w:val="28"/>
          <w:szCs w:val="28"/>
        </w:rPr>
        <w:lastRenderedPageBreak/>
        <w:t>РАЗДЕЛ 6. ПРЕДЛОЖЕНИЯ ПО СТРОИТЕЛЬСТВУ, РЕКОНСТРУКЦИИ И (ИЛИ) МОДЕРНИЗАЦИИ ТЕПЛОВЫХ СЕТЕЙ</w:t>
      </w:r>
    </w:p>
    <w:p>
      <w:pPr>
        <w:autoSpaceDE w:val="0"/>
        <w:autoSpaceDN w:val="0"/>
        <w:adjustRightInd w:val="0"/>
        <w:spacing w:after="0" w:line="240" w:lineRule="auto"/>
        <w:jc w:val="center"/>
        <w:rPr>
          <w:rFonts w:ascii="Times New Roman" w:eastAsia="Times New Roman,Bold" w:hAnsi="Times New Roman"/>
          <w:b/>
          <w:bCs/>
          <w:sz w:val="28"/>
          <w:szCs w:val="28"/>
        </w:rPr>
      </w:pP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Строительство и реконструкция тепловых сетей, обеспечивающих перераспределение тепловой нагрузки, не требуется. Располагаемой тепловой мощности котельной достаточно для обеспечения нужд, подключенных к ней потребителей, дефицита располагаемой тепловой мощности не наблюдается.</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iCs/>
          <w:sz w:val="28"/>
          <w:szCs w:val="28"/>
        </w:rPr>
        <w:t xml:space="preserve">Строительство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r>
        <w:rPr>
          <w:rFonts w:ascii="Times New Roman" w:hAnsi="Times New Roman"/>
          <w:sz w:val="28"/>
          <w:szCs w:val="28"/>
        </w:rPr>
        <w:t>не требуется.</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Согласно ФЗ № 190 «О теплоснабжении», пиковый режим работы источника тепловой энергии –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 Перевод котельных в пиковый режим работы не предполагается на расчетный период до 2038г.</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 перерывов, прекращений, ограничений в подаче тепловой энергии в точках присоединения </w:t>
      </w:r>
      <w:proofErr w:type="spellStart"/>
      <w:r>
        <w:rPr>
          <w:rFonts w:ascii="Times New Roman" w:hAnsi="Times New Roman"/>
          <w:sz w:val="28"/>
          <w:szCs w:val="28"/>
        </w:rPr>
        <w:t>теплопотребляющих</w:t>
      </w:r>
      <w:proofErr w:type="spellEnd"/>
      <w:r>
        <w:rPr>
          <w:rFonts w:ascii="Times New Roman" w:hAnsi="Times New Roman"/>
          <w:sz w:val="28"/>
          <w:szCs w:val="28"/>
        </w:rPr>
        <w:t xml:space="preserve"> установок и (или) тепловых сетей потребителя товаров и услуг к коллекторам или тепловым сетям указанной регулируемой организации, сопровождаемых зафиксированным приборами учета теплоносителя или тепловой энергии прекращением подачи теплоносителя или подачи тепловой энергии на </w:t>
      </w:r>
      <w:proofErr w:type="spellStart"/>
      <w:r>
        <w:rPr>
          <w:rFonts w:ascii="Times New Roman" w:hAnsi="Times New Roman"/>
          <w:sz w:val="28"/>
          <w:szCs w:val="28"/>
        </w:rPr>
        <w:t>теплопотребляющие</w:t>
      </w:r>
      <w:proofErr w:type="spellEnd"/>
      <w:r>
        <w:rPr>
          <w:rFonts w:ascii="Times New Roman" w:hAnsi="Times New Roman"/>
          <w:sz w:val="28"/>
          <w:szCs w:val="28"/>
        </w:rPr>
        <w:t xml:space="preserve"> установки.</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Необходимо проводить замену изношенных участков тепловой сети, срок эксплуатации которых превышает 25-30 лет, с применением современной </w:t>
      </w:r>
      <w:proofErr w:type="spellStart"/>
      <w:r>
        <w:rPr>
          <w:rFonts w:ascii="Times New Roman" w:hAnsi="Times New Roman"/>
          <w:sz w:val="28"/>
          <w:szCs w:val="28"/>
        </w:rPr>
        <w:t>энергоэффективной</w:t>
      </w:r>
      <w:proofErr w:type="spellEnd"/>
      <w:r>
        <w:rPr>
          <w:rFonts w:ascii="Times New Roman" w:hAnsi="Times New Roman"/>
          <w:sz w:val="28"/>
          <w:szCs w:val="28"/>
        </w:rPr>
        <w:t xml:space="preserve"> тепловой изоляции трубопроводов тепловой сети до 3% в год в период с 2026г. по 2038г. </w:t>
      </w:r>
    </w:p>
    <w:p>
      <w:pPr>
        <w:autoSpaceDE w:val="0"/>
        <w:autoSpaceDN w:val="0"/>
        <w:adjustRightInd w:val="0"/>
        <w:spacing w:after="0" w:line="240" w:lineRule="auto"/>
        <w:jc w:val="center"/>
        <w:rPr>
          <w:rFonts w:ascii="Times New Roman" w:eastAsia="Times New Roman,Bold" w:hAnsi="Times New Roman"/>
          <w:b/>
          <w:bCs/>
          <w:i/>
          <w:color w:val="000000" w:themeColor="text1"/>
          <w:sz w:val="28"/>
          <w:szCs w:val="28"/>
        </w:rPr>
      </w:pPr>
      <w:r>
        <w:rPr>
          <w:rFonts w:ascii="Times New Roman" w:eastAsia="Times New Roman,Bold" w:hAnsi="Times New Roman"/>
          <w:b/>
          <w:bCs/>
          <w:i/>
          <w:color w:val="000000" w:themeColor="text1"/>
          <w:sz w:val="28"/>
          <w:szCs w:val="28"/>
        </w:rPr>
        <w:lastRenderedPageBreak/>
        <w:t>РАЗДЕЛ 7. ПРЕДЛОЖЕНИЯ ПО ПЕРЕВОДУ ОТКРЫТЫХ СИСТЕМ ТЕПЛОСНАБЖЕНИЯ (ГОРЯЧЕГО ВОДОСНАБЖЕНИЯ) В ЗАКРЫТЫЕ СИСТЕМЫ ГОРЯЧЕГО ВОДОСНАБЖЕНИЯ</w:t>
      </w:r>
    </w:p>
    <w:p>
      <w:pPr>
        <w:autoSpaceDE w:val="0"/>
        <w:autoSpaceDN w:val="0"/>
        <w:adjustRightInd w:val="0"/>
        <w:spacing w:after="0" w:line="240" w:lineRule="auto"/>
        <w:jc w:val="center"/>
        <w:rPr>
          <w:rFonts w:ascii="Times New Roman" w:eastAsia="Times New Roman,Bold" w:hAnsi="Times New Roman"/>
          <w:b/>
          <w:bCs/>
          <w:i/>
          <w:color w:val="000000" w:themeColor="text1"/>
          <w:sz w:val="28"/>
          <w:szCs w:val="28"/>
        </w:rPr>
      </w:pPr>
    </w:p>
    <w:p>
      <w:pPr>
        <w:autoSpaceDE w:val="0"/>
        <w:autoSpaceDN w:val="0"/>
        <w:adjustRightInd w:val="0"/>
        <w:spacing w:after="0" w:line="360" w:lineRule="auto"/>
        <w:ind w:firstLine="567"/>
        <w:jc w:val="both"/>
        <w:rPr>
          <w:rFonts w:ascii="Times New Roman" w:eastAsia="Times New Roman,Bold" w:hAnsi="Times New Roman"/>
          <w:color w:val="000000" w:themeColor="text1"/>
          <w:sz w:val="28"/>
          <w:szCs w:val="28"/>
        </w:rPr>
      </w:pPr>
      <w:r>
        <w:rPr>
          <w:rFonts w:ascii="Times New Roman" w:eastAsia="Times New Roman,Bold" w:hAnsi="Times New Roman"/>
          <w:color w:val="000000" w:themeColor="text1"/>
          <w:sz w:val="28"/>
          <w:szCs w:val="28"/>
        </w:rPr>
        <w:t>Мероприятия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не требуются.</w:t>
      </w:r>
    </w:p>
    <w:p>
      <w:pPr>
        <w:autoSpaceDE w:val="0"/>
        <w:autoSpaceDN w:val="0"/>
        <w:adjustRightInd w:val="0"/>
        <w:spacing w:after="0" w:line="360" w:lineRule="auto"/>
        <w:ind w:firstLine="567"/>
        <w:jc w:val="both"/>
        <w:rPr>
          <w:rFonts w:ascii="Times New Roman" w:eastAsia="Times New Roman,Bold" w:hAnsi="Times New Roman"/>
          <w:color w:val="000000" w:themeColor="text1"/>
          <w:sz w:val="28"/>
          <w:szCs w:val="28"/>
        </w:rPr>
      </w:pPr>
      <w:r>
        <w:rPr>
          <w:rFonts w:ascii="Times New Roman" w:eastAsia="Times New Roman,Bold" w:hAnsi="Times New Roman"/>
          <w:color w:val="000000" w:themeColor="text1"/>
          <w:sz w:val="28"/>
          <w:szCs w:val="28"/>
        </w:rPr>
        <w:t>Внутридомовые системы горячего водоснабжения у потребителей тепловой энергии отсутствуют.</w:t>
      </w: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r>
        <w:rPr>
          <w:rFonts w:ascii="Times New Roman" w:eastAsia="Times New Roman,Bold" w:hAnsi="Times New Roman"/>
          <w:color w:val="000000" w:themeColor="text1"/>
          <w:sz w:val="28"/>
          <w:szCs w:val="28"/>
        </w:rPr>
        <w:t>Строительство индивидуальных и (или) центральных тепловых пунктов не требуется.</w:t>
      </w: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r>
        <w:rPr>
          <w:rFonts w:ascii="Times New Roman" w:eastAsia="Times New Roman,Bold" w:hAnsi="Times New Roman"/>
          <w:color w:val="000000" w:themeColor="text1"/>
          <w:sz w:val="28"/>
          <w:szCs w:val="28"/>
        </w:rPr>
        <w:t>Мероприятия по переводу открытых систем теплоснабжения (горячего водоснабжения) в закрытые системы горячего водоснабжения не требуется.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отсутствует.</w:t>
      </w: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p>
    <w:p>
      <w:pPr>
        <w:autoSpaceDE w:val="0"/>
        <w:autoSpaceDN w:val="0"/>
        <w:adjustRightInd w:val="0"/>
        <w:spacing w:line="240" w:lineRule="auto"/>
        <w:jc w:val="center"/>
        <w:rPr>
          <w:rFonts w:ascii="Times New Roman" w:eastAsia="Times New Roman,Bold" w:hAnsi="Times New Roman"/>
          <w:b/>
          <w:bCs/>
          <w:color w:val="000000" w:themeColor="text1"/>
          <w:sz w:val="28"/>
          <w:szCs w:val="28"/>
        </w:rPr>
      </w:pPr>
      <w:r>
        <w:rPr>
          <w:rFonts w:ascii="Times New Roman" w:eastAsia="Times New Roman,Bold" w:hAnsi="Times New Roman"/>
          <w:b/>
          <w:bCs/>
          <w:color w:val="000000" w:themeColor="text1"/>
          <w:sz w:val="28"/>
          <w:szCs w:val="28"/>
        </w:rPr>
        <w:t>РАЗДЕЛ 8. ПЕРСПЕКТИВНЫЕ ТОПЛИВНЫЕ БАЛАНСЫ</w:t>
      </w:r>
    </w:p>
    <w:p>
      <w:pPr>
        <w:autoSpaceDE w:val="0"/>
        <w:autoSpaceDN w:val="0"/>
        <w:adjustRightInd w:val="0"/>
        <w:spacing w:line="360" w:lineRule="auto"/>
        <w:ind w:firstLine="567"/>
        <w:jc w:val="both"/>
        <w:rPr>
          <w:rFonts w:ascii="Times New Roman" w:eastAsia="Times New Roman,Bold" w:hAnsi="Times New Roman"/>
          <w:b/>
          <w:bCs/>
          <w:i/>
          <w:color w:val="000000" w:themeColor="text1"/>
          <w:sz w:val="28"/>
          <w:szCs w:val="28"/>
        </w:rPr>
      </w:pPr>
    </w:p>
    <w:p>
      <w:pPr>
        <w:autoSpaceDE w:val="0"/>
        <w:autoSpaceDN w:val="0"/>
        <w:adjustRightInd w:val="0"/>
        <w:spacing w:after="0" w:line="360" w:lineRule="auto"/>
        <w:ind w:firstLine="567"/>
        <w:jc w:val="both"/>
        <w:rPr>
          <w:rFonts w:eastAsia="Times New Roman,Bold"/>
          <w:sz w:val="28"/>
          <w:szCs w:val="28"/>
        </w:rPr>
      </w:pPr>
      <w:r>
        <w:rPr>
          <w:rFonts w:ascii="Times New Roman" w:hAnsi="Times New Roman"/>
          <w:sz w:val="28"/>
          <w:szCs w:val="28"/>
        </w:rPr>
        <w:t xml:space="preserve">Основным видом топлива для котельной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является уголь бурый 3Б. Данный уголь </w:t>
      </w:r>
      <w:r>
        <w:rPr>
          <w:rFonts w:ascii="Times New Roman" w:hAnsi="Times New Roman"/>
          <w:sz w:val="28"/>
        </w:rPr>
        <w:t>является основным топливом для существующей котельной</w:t>
      </w:r>
      <w:r>
        <w:rPr>
          <w:rFonts w:ascii="Times New Roman" w:hAnsi="Times New Roman"/>
          <w:sz w:val="28"/>
          <w:szCs w:val="28"/>
        </w:rPr>
        <w:t xml:space="preserve"> обеспечивающих</w:t>
      </w:r>
      <w:r>
        <w:rPr>
          <w:rFonts w:ascii="Times New Roman" w:hAnsi="Times New Roman"/>
          <w:sz w:val="28"/>
        </w:rPr>
        <w:t xml:space="preserve"> отоплением население и бюджетных потребителей. Также уголь бурый 3Б используется для отопления существующего одноэтажного жилого фонда.</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 Аварийное топливо – уголь бурый 3Б. </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Перевод котельной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на другие виды топлива до конца расчетного периода не планируется. Возобновляемые источники энергии отсутствуют.</w:t>
      </w:r>
    </w:p>
    <w:p>
      <w:pPr>
        <w:autoSpaceDE w:val="0"/>
        <w:autoSpaceDN w:val="0"/>
        <w:adjustRightInd w:val="0"/>
        <w:spacing w:after="0" w:line="360" w:lineRule="auto"/>
        <w:ind w:firstLine="567"/>
        <w:jc w:val="both"/>
        <w:rPr>
          <w:rFonts w:ascii="Times New Roman" w:hAnsi="Times New Roman"/>
          <w:color w:val="000000"/>
          <w:sz w:val="28"/>
          <w:szCs w:val="28"/>
        </w:rPr>
      </w:pPr>
      <w:r>
        <w:rPr>
          <w:rFonts w:ascii="Times New Roman" w:hAnsi="Times New Roman"/>
          <w:color w:val="000000"/>
          <w:sz w:val="28"/>
          <w:szCs w:val="28"/>
        </w:rPr>
        <w:t>Основным видом топлива для котельных является уголь бурый 3б.</w:t>
      </w:r>
    </w:p>
    <w:p>
      <w:pPr>
        <w:autoSpaceDE w:val="0"/>
        <w:autoSpaceDN w:val="0"/>
        <w:adjustRightInd w:val="0"/>
        <w:spacing w:after="0" w:line="360" w:lineRule="auto"/>
        <w:ind w:firstLine="567"/>
        <w:jc w:val="both"/>
        <w:rPr>
          <w:rFonts w:ascii="Times New Roman" w:hAnsi="Times New Roman"/>
          <w:color w:val="000000"/>
          <w:sz w:val="28"/>
          <w:szCs w:val="28"/>
        </w:rPr>
      </w:pPr>
      <w:r>
        <w:rPr>
          <w:rFonts w:ascii="Times New Roman" w:hAnsi="Times New Roman"/>
          <w:color w:val="000000"/>
          <w:sz w:val="28"/>
          <w:szCs w:val="28"/>
        </w:rPr>
        <w:t>Индивидуальные источники тепловой энергии в частных жилых домах в качестве топлива используют уголь и дрова.</w:t>
      </w:r>
    </w:p>
    <w:p>
      <w:pPr>
        <w:autoSpaceDE w:val="0"/>
        <w:autoSpaceDN w:val="0"/>
        <w:adjustRightInd w:val="0"/>
        <w:spacing w:after="0" w:line="360" w:lineRule="auto"/>
        <w:ind w:firstLine="567"/>
        <w:jc w:val="both"/>
        <w:rPr>
          <w:rFonts w:ascii="Times New Roman" w:hAnsi="Times New Roman"/>
          <w:color w:val="000000"/>
          <w:sz w:val="28"/>
          <w:szCs w:val="28"/>
        </w:rPr>
      </w:pPr>
      <w:r>
        <w:rPr>
          <w:rFonts w:ascii="Times New Roman" w:hAnsi="Times New Roman"/>
          <w:color w:val="000000"/>
          <w:sz w:val="28"/>
          <w:szCs w:val="28"/>
        </w:rPr>
        <w:t xml:space="preserve">Местным видом топлива в </w:t>
      </w:r>
      <w:proofErr w:type="spellStart"/>
      <w:r>
        <w:rPr>
          <w:rFonts w:ascii="Times New Roman" w:hAnsi="Times New Roman"/>
          <w:color w:val="000000"/>
          <w:sz w:val="28"/>
          <w:szCs w:val="28"/>
        </w:rPr>
        <w:t>Тигрицком</w:t>
      </w:r>
      <w:proofErr w:type="spellEnd"/>
      <w:r>
        <w:rPr>
          <w:rFonts w:ascii="Times New Roman" w:hAnsi="Times New Roman"/>
          <w:color w:val="000000"/>
          <w:sz w:val="28"/>
          <w:szCs w:val="28"/>
        </w:rPr>
        <w:t xml:space="preserve"> сельсовете </w:t>
      </w:r>
      <w:proofErr w:type="spellStart"/>
      <w:r>
        <w:rPr>
          <w:rFonts w:ascii="Times New Roman" w:hAnsi="Times New Roman"/>
          <w:color w:val="000000"/>
          <w:sz w:val="28"/>
          <w:szCs w:val="28"/>
        </w:rPr>
        <w:t>Минуусинского</w:t>
      </w:r>
      <w:proofErr w:type="spellEnd"/>
      <w:r>
        <w:rPr>
          <w:rFonts w:ascii="Times New Roman" w:hAnsi="Times New Roman"/>
          <w:color w:val="000000"/>
          <w:sz w:val="28"/>
          <w:szCs w:val="28"/>
        </w:rPr>
        <w:t xml:space="preserve"> района являются дрова. </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Резервное топливо для котельных отсутствует.</w:t>
      </w:r>
    </w:p>
    <w:p>
      <w:pPr>
        <w:spacing w:after="59" w:line="360" w:lineRule="auto"/>
        <w:ind w:left="127" w:firstLine="582"/>
        <w:jc w:val="both"/>
        <w:rPr>
          <w:rFonts w:ascii="Times New Roman" w:hAnsi="Times New Roman"/>
          <w:sz w:val="28"/>
        </w:rPr>
      </w:pPr>
      <w:r>
        <w:rPr>
          <w:rFonts w:ascii="Times New Roman" w:hAnsi="Times New Roman"/>
          <w:sz w:val="28"/>
        </w:rPr>
        <w:t xml:space="preserve">Исходя из структуры топливного баланса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w:t>
      </w:r>
      <w:r>
        <w:rPr>
          <w:rFonts w:ascii="Times New Roman" w:hAnsi="Times New Roman"/>
          <w:sz w:val="28"/>
        </w:rPr>
        <w:t>приоритетным направлением развития топливного баланса остается использование каменного угля на источниках тепловой энергии, использующих его в качестве основного вида топлива.</w:t>
      </w: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tabs>
          <w:tab w:val="left" w:pos="2244"/>
        </w:tabs>
        <w:spacing w:after="0" w:line="240" w:lineRule="auto"/>
        <w:rPr>
          <w:rFonts w:ascii="Times New Roman" w:eastAsia="Times New Roman,Bold" w:hAnsi="Times New Roman"/>
          <w:b/>
          <w:bCs/>
          <w:sz w:val="28"/>
          <w:szCs w:val="28"/>
        </w:rPr>
        <w:sectPr>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tabs>
          <w:tab w:val="left" w:pos="2244"/>
        </w:tabs>
        <w:spacing w:after="0" w:line="240" w:lineRule="auto"/>
        <w:jc w:val="center"/>
        <w:rPr>
          <w:rFonts w:ascii="Times New Roman" w:eastAsia="Times New Roman,Bold" w:hAnsi="Times New Roman"/>
          <w:b/>
          <w:bCs/>
          <w:sz w:val="28"/>
          <w:szCs w:val="28"/>
        </w:rPr>
      </w:pPr>
      <w:r>
        <w:rPr>
          <w:rFonts w:ascii="Times New Roman" w:eastAsia="Times New Roman,Bold" w:hAnsi="Times New Roman"/>
          <w:b/>
          <w:bCs/>
          <w:sz w:val="28"/>
          <w:szCs w:val="28"/>
        </w:rPr>
        <w:lastRenderedPageBreak/>
        <w:t>РАЗДЕЛ 9. ИНВЕСТИЦИИ В СТРОИТЕЛЬСТВО, РЕКОНСТРУКЦИЮ, ТЕХНИЧЕСКОЕ ПЕРЕВООРУЖЕНИЕ И (ИЛИ) МОДЕРНИЗАЦИЮ</w:t>
      </w:r>
    </w:p>
    <w:p>
      <w:pPr>
        <w:spacing w:after="59" w:line="360" w:lineRule="auto"/>
        <w:jc w:val="both"/>
        <w:rPr>
          <w:rFonts w:ascii="Times New Roman" w:hAnsi="Times New Roman"/>
          <w:sz w:val="28"/>
        </w:rPr>
      </w:pPr>
    </w:p>
    <w:tbl>
      <w:tblPr>
        <w:tblStyle w:val="a5"/>
        <w:tblW w:w="15017" w:type="dxa"/>
        <w:tblInd w:w="-289" w:type="dxa"/>
        <w:tblLayout w:type="fixed"/>
        <w:tblLook w:val="04A0" w:firstRow="1" w:lastRow="0" w:firstColumn="1" w:lastColumn="0" w:noHBand="0" w:noVBand="1"/>
      </w:tblPr>
      <w:tblGrid>
        <w:gridCol w:w="1649"/>
        <w:gridCol w:w="1701"/>
        <w:gridCol w:w="2269"/>
        <w:gridCol w:w="52"/>
        <w:gridCol w:w="4042"/>
        <w:gridCol w:w="10"/>
        <w:gridCol w:w="1804"/>
        <w:gridCol w:w="38"/>
        <w:gridCol w:w="1676"/>
        <w:gridCol w:w="12"/>
        <w:gridCol w:w="1752"/>
        <w:gridCol w:w="12"/>
      </w:tblGrid>
      <w:tr>
        <w:trPr>
          <w:trHeight w:val="795"/>
        </w:trPr>
        <w:tc>
          <w:tcPr>
            <w:tcW w:w="1649" w:type="dxa"/>
            <w:tcBorders>
              <w:bottom w:val="single" w:sz="4" w:space="0" w:color="auto"/>
            </w:tcBorders>
          </w:tcPr>
          <w:p>
            <w:pPr>
              <w:rPr>
                <w:rFonts w:ascii="Times New Roman" w:eastAsia="Calibri" w:hAnsi="Times New Roman" w:cs="Times New Roman"/>
              </w:rPr>
            </w:pPr>
            <w:r>
              <w:rPr>
                <w:rFonts w:ascii="Times New Roman" w:eastAsia="Calibri" w:hAnsi="Times New Roman" w:cs="Times New Roman"/>
              </w:rPr>
              <w:t>Объект</w:t>
            </w:r>
          </w:p>
        </w:tc>
        <w:tc>
          <w:tcPr>
            <w:tcW w:w="1701" w:type="dxa"/>
          </w:tcPr>
          <w:p>
            <w:pPr>
              <w:tabs>
                <w:tab w:val="left" w:pos="1141"/>
              </w:tabs>
              <w:ind w:left="166" w:hanging="166"/>
              <w:rPr>
                <w:rFonts w:ascii="Times New Roman" w:eastAsia="Calibri" w:hAnsi="Times New Roman" w:cs="Times New Roman"/>
              </w:rPr>
            </w:pPr>
            <w:r>
              <w:rPr>
                <w:rFonts w:ascii="Times New Roman" w:eastAsia="Calibri" w:hAnsi="Times New Roman" w:cs="Times New Roman"/>
              </w:rPr>
              <w:t>Адрес</w:t>
            </w:r>
          </w:p>
        </w:tc>
        <w:tc>
          <w:tcPr>
            <w:tcW w:w="2269" w:type="dxa"/>
          </w:tcPr>
          <w:p>
            <w:pPr>
              <w:jc w:val="center"/>
              <w:rPr>
                <w:rFonts w:ascii="Times New Roman" w:eastAsia="Calibri" w:hAnsi="Times New Roman" w:cs="Times New Roman"/>
              </w:rPr>
            </w:pPr>
            <w:r>
              <w:rPr>
                <w:rFonts w:ascii="Times New Roman" w:eastAsia="Calibri" w:hAnsi="Times New Roman" w:cs="Times New Roman"/>
              </w:rPr>
              <w:t>Категория мероприятия</w:t>
            </w:r>
          </w:p>
        </w:tc>
        <w:tc>
          <w:tcPr>
            <w:tcW w:w="4104" w:type="dxa"/>
            <w:gridSpan w:val="3"/>
          </w:tcPr>
          <w:p>
            <w:pPr>
              <w:rPr>
                <w:rFonts w:ascii="Times New Roman" w:eastAsia="Calibri" w:hAnsi="Times New Roman" w:cs="Times New Roman"/>
              </w:rPr>
            </w:pPr>
            <w:r>
              <w:rPr>
                <w:rFonts w:ascii="Times New Roman" w:eastAsia="Calibri" w:hAnsi="Times New Roman" w:cs="Times New Roman"/>
              </w:rPr>
              <w:t>Предлагаемое наименование мероприятия с привязкой к котельной от КЦПР</w:t>
            </w:r>
          </w:p>
        </w:tc>
        <w:tc>
          <w:tcPr>
            <w:tcW w:w="1804" w:type="dxa"/>
          </w:tcPr>
          <w:p>
            <w:pPr>
              <w:rPr>
                <w:rFonts w:ascii="Times New Roman" w:eastAsia="Calibri" w:hAnsi="Times New Roman" w:cs="Times New Roman"/>
              </w:rPr>
            </w:pPr>
            <w:r>
              <w:rPr>
                <w:rFonts w:ascii="Times New Roman" w:eastAsia="Calibri" w:hAnsi="Times New Roman" w:cs="Times New Roman"/>
              </w:rPr>
              <w:t>Планируемой срок реализации</w:t>
            </w:r>
          </w:p>
        </w:tc>
        <w:tc>
          <w:tcPr>
            <w:tcW w:w="1726" w:type="dxa"/>
            <w:gridSpan w:val="3"/>
          </w:tcPr>
          <w:p>
            <w:pPr>
              <w:rPr>
                <w:rFonts w:ascii="Times New Roman" w:eastAsia="Calibri" w:hAnsi="Times New Roman" w:cs="Times New Roman"/>
              </w:rPr>
            </w:pPr>
            <w:r>
              <w:rPr>
                <w:rFonts w:ascii="Times New Roman" w:eastAsia="Calibri" w:hAnsi="Times New Roman" w:cs="Times New Roman"/>
              </w:rPr>
              <w:t xml:space="preserve">Стоимость реализации тыс. </w:t>
            </w:r>
            <w:proofErr w:type="spellStart"/>
            <w:r>
              <w:rPr>
                <w:rFonts w:ascii="Times New Roman" w:eastAsia="Calibri" w:hAnsi="Times New Roman" w:cs="Times New Roman"/>
              </w:rPr>
              <w:t>руб</w:t>
            </w:r>
            <w:proofErr w:type="spellEnd"/>
          </w:p>
        </w:tc>
        <w:tc>
          <w:tcPr>
            <w:tcW w:w="1764" w:type="dxa"/>
            <w:gridSpan w:val="2"/>
          </w:tcPr>
          <w:p>
            <w:pPr>
              <w:rPr>
                <w:rFonts w:ascii="Times New Roman" w:eastAsia="Calibri" w:hAnsi="Times New Roman" w:cs="Times New Roman"/>
              </w:rPr>
            </w:pPr>
            <w:r>
              <w:rPr>
                <w:rFonts w:ascii="Times New Roman" w:eastAsia="Calibri" w:hAnsi="Times New Roman" w:cs="Times New Roman"/>
              </w:rPr>
              <w:t>Источник финансирования</w:t>
            </w:r>
          </w:p>
        </w:tc>
      </w:tr>
      <w:tr>
        <w:trPr>
          <w:trHeight w:val="795"/>
        </w:trPr>
        <w:tc>
          <w:tcPr>
            <w:tcW w:w="1649" w:type="dxa"/>
            <w:vMerge w:val="restart"/>
          </w:tcPr>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Котельная</w:t>
            </w:r>
          </w:p>
          <w:p>
            <w:pPr>
              <w:jc w:val="center"/>
              <w:rPr>
                <w:rFonts w:ascii="Times New Roman" w:eastAsia="Calibri" w:hAnsi="Times New Roman" w:cs="Times New Roman"/>
              </w:rPr>
            </w:pPr>
            <w:r>
              <w:rPr>
                <w:rFonts w:ascii="Times New Roman" w:eastAsia="Calibri" w:hAnsi="Times New Roman" w:cs="Times New Roman"/>
              </w:rPr>
              <w:t>24:25:5101001:1340</w:t>
            </w:r>
          </w:p>
        </w:tc>
        <w:tc>
          <w:tcPr>
            <w:tcW w:w="1701" w:type="dxa"/>
            <w:vMerge w:val="restart"/>
          </w:tcPr>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 xml:space="preserve">Красноярский край, Минусинский район, с. </w:t>
            </w:r>
            <w:proofErr w:type="spellStart"/>
            <w:r>
              <w:rPr>
                <w:rFonts w:ascii="Times New Roman" w:eastAsia="Calibri" w:hAnsi="Times New Roman" w:cs="Times New Roman"/>
              </w:rPr>
              <w:t>Тигрицкое</w:t>
            </w:r>
            <w:proofErr w:type="spellEnd"/>
            <w:r>
              <w:rPr>
                <w:rFonts w:ascii="Times New Roman" w:eastAsia="Calibri" w:hAnsi="Times New Roman" w:cs="Times New Roman"/>
              </w:rPr>
              <w:t>, ул. Пролетарская, здание, 11</w:t>
            </w:r>
          </w:p>
        </w:tc>
        <w:tc>
          <w:tcPr>
            <w:tcW w:w="2269" w:type="dxa"/>
          </w:tcPr>
          <w:p>
            <w:pPr>
              <w:jc w:val="center"/>
              <w:rPr>
                <w:rFonts w:ascii="Times New Roman" w:eastAsia="Calibri" w:hAnsi="Times New Roman" w:cs="Times New Roman"/>
              </w:rPr>
            </w:pPr>
            <w:r>
              <w:rPr>
                <w:rFonts w:ascii="Times New Roman" w:eastAsia="Calibri" w:hAnsi="Times New Roman" w:cs="Times New Roman"/>
              </w:rPr>
              <w:t xml:space="preserve">Модернизация </w:t>
            </w:r>
          </w:p>
        </w:tc>
        <w:tc>
          <w:tcPr>
            <w:tcW w:w="4104" w:type="dxa"/>
            <w:gridSpan w:val="3"/>
          </w:tcPr>
          <w:p>
            <w:pPr>
              <w:rPr>
                <w:rFonts w:ascii="Times New Roman" w:eastAsia="Calibri" w:hAnsi="Times New Roman" w:cs="Times New Roman"/>
              </w:rPr>
            </w:pPr>
            <w:r>
              <w:rPr>
                <w:rFonts w:ascii="Times New Roman" w:eastAsia="Calibri" w:hAnsi="Times New Roman" w:cs="Times New Roman"/>
              </w:rPr>
              <w:t xml:space="preserve">Модернизация насосного оборудования котельной с заменой сетевого насоса ЦНСг38-66 на </w:t>
            </w:r>
            <w:proofErr w:type="spellStart"/>
            <w:r>
              <w:rPr>
                <w:rFonts w:ascii="Times New Roman" w:eastAsia="Calibri" w:hAnsi="Times New Roman" w:cs="Times New Roman"/>
              </w:rPr>
              <w:t>энергоэффективный</w:t>
            </w:r>
            <w:proofErr w:type="spellEnd"/>
            <w:r>
              <w:rPr>
                <w:rFonts w:ascii="Times New Roman" w:eastAsia="Calibri" w:hAnsi="Times New Roman" w:cs="Times New Roman"/>
              </w:rPr>
              <w:t xml:space="preserve"> насос</w:t>
            </w:r>
            <w:proofErr w:type="spellStart"/>
            <w:r>
              <w:rPr>
                <w:rFonts w:ascii="Times New Roman" w:eastAsia="Calibri" w:hAnsi="Times New Roman" w:cs="Times New Roman"/>
                <w:lang w:val="en-US"/>
              </w:rPr>
              <w:t>Wilo</w:t>
            </w:r>
            <w:proofErr w:type="spellEnd"/>
            <w:r>
              <w:rPr>
                <w:rFonts w:ascii="Times New Roman" w:eastAsia="Calibri" w:hAnsi="Times New Roman" w:cs="Times New Roman"/>
              </w:rPr>
              <w:t xml:space="preserve"> </w:t>
            </w:r>
            <w:r>
              <w:rPr>
                <w:rFonts w:ascii="Times New Roman" w:eastAsia="Calibri" w:hAnsi="Times New Roman" w:cs="Times New Roman"/>
                <w:lang w:val="en-US"/>
              </w:rPr>
              <w:t>BL</w:t>
            </w:r>
            <w:r>
              <w:rPr>
                <w:rFonts w:ascii="Times New Roman" w:eastAsia="Calibri" w:hAnsi="Times New Roman" w:cs="Times New Roman"/>
              </w:rPr>
              <w:t xml:space="preserve"> 40/230-15/2 </w:t>
            </w:r>
          </w:p>
        </w:tc>
        <w:tc>
          <w:tcPr>
            <w:tcW w:w="1804"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2029</w:t>
            </w:r>
          </w:p>
        </w:tc>
        <w:tc>
          <w:tcPr>
            <w:tcW w:w="1726"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568,66</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Внебюджетный источник</w:t>
            </w:r>
          </w:p>
        </w:tc>
      </w:tr>
      <w:tr>
        <w:trPr>
          <w:gridAfter w:val="1"/>
          <w:wAfter w:w="12" w:type="dxa"/>
          <w:trHeight w:val="591"/>
        </w:trPr>
        <w:tc>
          <w:tcPr>
            <w:tcW w:w="1649" w:type="dxa"/>
            <w:vMerge/>
          </w:tcPr>
          <w:p>
            <w:pPr>
              <w:jc w:val="center"/>
              <w:rPr>
                <w:rFonts w:ascii="Times New Roman" w:eastAsia="Calibri" w:hAnsi="Times New Roman" w:cs="Times New Roman"/>
              </w:rPr>
            </w:pPr>
          </w:p>
        </w:tc>
        <w:tc>
          <w:tcPr>
            <w:tcW w:w="1701" w:type="dxa"/>
            <w:vMerge/>
          </w:tcPr>
          <w:p>
            <w:pPr>
              <w:jc w:val="cente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Строительство</w:t>
            </w:r>
          </w:p>
        </w:tc>
        <w:tc>
          <w:tcPr>
            <w:tcW w:w="4042" w:type="dxa"/>
          </w:tcPr>
          <w:p>
            <w:pPr>
              <w:rPr>
                <w:rFonts w:ascii="Times New Roman" w:eastAsia="Calibri" w:hAnsi="Times New Roman" w:cs="Times New Roman"/>
              </w:rPr>
            </w:pPr>
            <w:r>
              <w:rPr>
                <w:rFonts w:ascii="Times New Roman" w:eastAsia="Calibri" w:hAnsi="Times New Roman" w:cs="Times New Roman"/>
              </w:rPr>
              <w:t>Строительство системы приточно-вытяжной вентиляции здания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2028</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7 000,00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 xml:space="preserve">Реконструкция котельной с установкой системы водоподготовки, состоящей из фильтров механической очистки и системы дозирования реагентов </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800,00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Реконструкция технологического трубопровода с установкой узла учета тепловой энергии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1800,00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Капитальный ремонт</w:t>
            </w:r>
          </w:p>
        </w:tc>
        <w:tc>
          <w:tcPr>
            <w:tcW w:w="4042" w:type="dxa"/>
          </w:tcPr>
          <w:p>
            <w:pPr>
              <w:rPr>
                <w:rFonts w:ascii="Times New Roman" w:eastAsia="Calibri" w:hAnsi="Times New Roman" w:cs="Times New Roman"/>
              </w:rPr>
            </w:pPr>
            <w:r>
              <w:rPr>
                <w:rFonts w:ascii="Times New Roman" w:eastAsia="Calibri" w:hAnsi="Times New Roman" w:cs="Times New Roman"/>
              </w:rPr>
              <w:t>Капитальный ремонт здания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3600,00</w:t>
            </w:r>
          </w:p>
          <w:p>
            <w:pPr>
              <w:jc w:val="center"/>
              <w:rPr>
                <w:rFonts w:ascii="Times New Roman" w:eastAsia="Calibri" w:hAnsi="Times New Roman" w:cs="Times New Roman"/>
              </w:rPr>
            </w:pP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 xml:space="preserve">Реконструкция узла холодного водоснабжения </w:t>
            </w:r>
            <w:proofErr w:type="gramStart"/>
            <w:r>
              <w:rPr>
                <w:rFonts w:ascii="Times New Roman" w:eastAsia="Calibri" w:hAnsi="Times New Roman" w:cs="Times New Roman"/>
              </w:rPr>
              <w:t>котельной  с</w:t>
            </w:r>
            <w:proofErr w:type="gramEnd"/>
            <w:r>
              <w:rPr>
                <w:rFonts w:ascii="Times New Roman" w:eastAsia="Calibri" w:hAnsi="Times New Roman" w:cs="Times New Roman"/>
              </w:rPr>
              <w:t xml:space="preserve"> установкой узла учета</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2026</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50,00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Внебюджетный источник</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Реконструкция системы электроснабжения котельной с установкой ДЭС для обеспечения 2-й категории надежности электроснабжения от резервного источника</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1800,00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 xml:space="preserve">Капитальный ремонт </w:t>
            </w:r>
          </w:p>
        </w:tc>
        <w:tc>
          <w:tcPr>
            <w:tcW w:w="4042" w:type="dxa"/>
          </w:tcPr>
          <w:p>
            <w:pPr>
              <w:rPr>
                <w:rFonts w:ascii="Times New Roman" w:eastAsia="Calibri" w:hAnsi="Times New Roman" w:cs="Times New Roman"/>
              </w:rPr>
            </w:pPr>
            <w:r>
              <w:rPr>
                <w:rFonts w:ascii="Times New Roman" w:eastAsia="Calibri" w:hAnsi="Times New Roman" w:cs="Times New Roman"/>
              </w:rPr>
              <w:t>Капитальный ремонт участка тепловой сети от ТК5 до ТК9, 2Ду100, протяженностью154 м</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2028</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15000,00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Реконструкция</w:t>
            </w:r>
          </w:p>
        </w:tc>
        <w:tc>
          <w:tcPr>
            <w:tcW w:w="4042" w:type="dxa"/>
          </w:tcPr>
          <w:p>
            <w:pPr>
              <w:rPr>
                <w:rFonts w:ascii="Times New Roman" w:eastAsia="Calibri" w:hAnsi="Times New Roman" w:cs="Times New Roman"/>
              </w:rPr>
            </w:pPr>
            <w:r>
              <w:rPr>
                <w:rFonts w:ascii="Times New Roman" w:eastAsia="Calibri" w:hAnsi="Times New Roman" w:cs="Times New Roman"/>
              </w:rPr>
              <w:t>Реконструкция газового тракта котельной с установкой газоочистного оборудования</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2027</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3600,00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77"/>
        </w:trPr>
        <w:tc>
          <w:tcPr>
            <w:tcW w:w="1649" w:type="dxa"/>
            <w:vMerge/>
          </w:tcPr>
          <w:p>
            <w:pPr>
              <w:rPr>
                <w:rFonts w:ascii="Times New Roman" w:eastAsia="Calibri" w:hAnsi="Times New Roman" w:cs="Times New Roman"/>
              </w:rPr>
            </w:pPr>
          </w:p>
        </w:tc>
        <w:tc>
          <w:tcPr>
            <w:tcW w:w="1701" w:type="dxa"/>
            <w:vMerge/>
          </w:tcPr>
          <w:p>
            <w:pPr>
              <w:rPr>
                <w:rFonts w:ascii="Times New Roman" w:eastAsia="Calibri" w:hAnsi="Times New Roman" w:cs="Times New Roman"/>
              </w:rPr>
            </w:pPr>
          </w:p>
        </w:tc>
        <w:tc>
          <w:tcPr>
            <w:tcW w:w="2321" w:type="dxa"/>
            <w:gridSpan w:val="2"/>
          </w:tcPr>
          <w:p>
            <w:pPr>
              <w:jc w:val="center"/>
              <w:rPr>
                <w:rFonts w:ascii="Times New Roman" w:eastAsia="Calibri" w:hAnsi="Times New Roman" w:cs="Times New Roman"/>
              </w:rPr>
            </w:pPr>
            <w:r>
              <w:rPr>
                <w:rFonts w:ascii="Times New Roman" w:eastAsia="Calibri" w:hAnsi="Times New Roman" w:cs="Times New Roman"/>
              </w:rPr>
              <w:t>Строительство</w:t>
            </w:r>
          </w:p>
        </w:tc>
        <w:tc>
          <w:tcPr>
            <w:tcW w:w="4042" w:type="dxa"/>
          </w:tcPr>
          <w:p>
            <w:pPr>
              <w:rPr>
                <w:rFonts w:ascii="Times New Roman" w:eastAsia="Calibri" w:hAnsi="Times New Roman" w:cs="Times New Roman"/>
              </w:rPr>
            </w:pPr>
            <w:r>
              <w:rPr>
                <w:rFonts w:ascii="Times New Roman" w:eastAsia="Calibri" w:hAnsi="Times New Roman" w:cs="Times New Roman"/>
              </w:rPr>
              <w:t>Строительство площадки хранения топлива котельной</w:t>
            </w:r>
          </w:p>
        </w:tc>
        <w:tc>
          <w:tcPr>
            <w:tcW w:w="1852" w:type="dxa"/>
            <w:gridSpan w:val="3"/>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2028</w:t>
            </w:r>
          </w:p>
        </w:tc>
        <w:tc>
          <w:tcPr>
            <w:tcW w:w="1676" w:type="dxa"/>
          </w:tcPr>
          <w:p>
            <w:pPr>
              <w:jc w:val="center"/>
              <w:rPr>
                <w:rFonts w:ascii="Times New Roman" w:eastAsia="Calibri" w:hAnsi="Times New Roman" w:cs="Times New Roman"/>
              </w:rPr>
            </w:pPr>
          </w:p>
          <w:p>
            <w:pPr>
              <w:jc w:val="center"/>
              <w:rPr>
                <w:rFonts w:ascii="Times New Roman" w:eastAsia="Calibri" w:hAnsi="Times New Roman" w:cs="Times New Roman"/>
              </w:rPr>
            </w:pPr>
            <w:r>
              <w:rPr>
                <w:rFonts w:ascii="Times New Roman" w:eastAsia="Calibri" w:hAnsi="Times New Roman" w:cs="Times New Roman"/>
              </w:rPr>
              <w:t>4200,00</w:t>
            </w:r>
          </w:p>
        </w:tc>
        <w:tc>
          <w:tcPr>
            <w:tcW w:w="1764" w:type="dxa"/>
            <w:gridSpan w:val="2"/>
          </w:tcPr>
          <w:p>
            <w:pPr>
              <w:rPr>
                <w:rFonts w:ascii="Times New Roman" w:eastAsia="Calibri" w:hAnsi="Times New Roman" w:cs="Times New Roman"/>
              </w:rPr>
            </w:pPr>
            <w:r>
              <w:rPr>
                <w:rFonts w:ascii="Times New Roman" w:eastAsia="Calibri" w:hAnsi="Times New Roman" w:cs="Times New Roman"/>
              </w:rPr>
              <w:t>За счет средств бюджета</w:t>
            </w:r>
          </w:p>
        </w:tc>
      </w:tr>
      <w:tr>
        <w:trPr>
          <w:gridAfter w:val="1"/>
          <w:wAfter w:w="12" w:type="dxa"/>
          <w:trHeight w:val="294"/>
        </w:trPr>
        <w:tc>
          <w:tcPr>
            <w:tcW w:w="1649" w:type="dxa"/>
            <w:vMerge/>
          </w:tcPr>
          <w:p>
            <w:pPr>
              <w:rPr>
                <w:rFonts w:ascii="Calibri" w:eastAsia="Calibri" w:hAnsi="Calibri" w:cs="Times New Roman"/>
              </w:rPr>
            </w:pPr>
          </w:p>
        </w:tc>
        <w:tc>
          <w:tcPr>
            <w:tcW w:w="1701" w:type="dxa"/>
            <w:vMerge/>
          </w:tcPr>
          <w:p>
            <w:pPr>
              <w:rPr>
                <w:rFonts w:ascii="Calibri" w:eastAsia="Calibri" w:hAnsi="Calibri" w:cs="Times New Roman"/>
              </w:rPr>
            </w:pPr>
          </w:p>
        </w:tc>
        <w:tc>
          <w:tcPr>
            <w:tcW w:w="2321" w:type="dxa"/>
            <w:gridSpan w:val="2"/>
          </w:tcPr>
          <w:p>
            <w:pPr>
              <w:jc w:val="center"/>
              <w:rPr>
                <w:rFonts w:ascii="Calibri" w:eastAsia="Calibri" w:hAnsi="Calibri" w:cs="Times New Roman"/>
              </w:rPr>
            </w:pPr>
            <w:r>
              <w:rPr>
                <w:rFonts w:ascii="Calibri" w:eastAsia="Calibri" w:hAnsi="Calibri" w:cs="Times New Roman"/>
              </w:rPr>
              <w:t xml:space="preserve">Строительство </w:t>
            </w:r>
          </w:p>
        </w:tc>
        <w:tc>
          <w:tcPr>
            <w:tcW w:w="4042" w:type="dxa"/>
          </w:tcPr>
          <w:p>
            <w:pPr>
              <w:rPr>
                <w:rFonts w:ascii="Calibri" w:eastAsia="Calibri" w:hAnsi="Calibri" w:cs="Times New Roman"/>
              </w:rPr>
            </w:pPr>
            <w:r>
              <w:rPr>
                <w:rFonts w:ascii="Calibri" w:eastAsia="Calibri" w:hAnsi="Calibri" w:cs="Times New Roman"/>
              </w:rPr>
              <w:t>Строительство площадки временного накопления ЗШО котельной</w:t>
            </w:r>
          </w:p>
        </w:tc>
        <w:tc>
          <w:tcPr>
            <w:tcW w:w="1852" w:type="dxa"/>
            <w:gridSpan w:val="3"/>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2028</w:t>
            </w:r>
          </w:p>
        </w:tc>
        <w:tc>
          <w:tcPr>
            <w:tcW w:w="1676" w:type="dxa"/>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4200,00</w:t>
            </w:r>
          </w:p>
        </w:tc>
        <w:tc>
          <w:tcPr>
            <w:tcW w:w="1764" w:type="dxa"/>
            <w:gridSpan w:val="2"/>
          </w:tcPr>
          <w:p>
            <w:pPr>
              <w:rPr>
                <w:rFonts w:ascii="Calibri" w:eastAsia="Calibri" w:hAnsi="Calibri" w:cs="Times New Roman"/>
              </w:rPr>
            </w:pPr>
            <w:r>
              <w:rPr>
                <w:rFonts w:ascii="Calibri" w:eastAsia="Calibri" w:hAnsi="Calibri" w:cs="Times New Roman"/>
              </w:rPr>
              <w:t>За счет средств бюджета</w:t>
            </w:r>
          </w:p>
        </w:tc>
      </w:tr>
      <w:tr>
        <w:trPr>
          <w:gridAfter w:val="1"/>
          <w:wAfter w:w="12" w:type="dxa"/>
          <w:trHeight w:val="277"/>
        </w:trPr>
        <w:tc>
          <w:tcPr>
            <w:tcW w:w="1649" w:type="dxa"/>
            <w:vMerge/>
          </w:tcPr>
          <w:p>
            <w:pPr>
              <w:rPr>
                <w:rFonts w:ascii="Calibri" w:eastAsia="Calibri" w:hAnsi="Calibri" w:cs="Times New Roman"/>
              </w:rPr>
            </w:pPr>
          </w:p>
        </w:tc>
        <w:tc>
          <w:tcPr>
            <w:tcW w:w="1701" w:type="dxa"/>
            <w:vMerge/>
          </w:tcPr>
          <w:p>
            <w:pPr>
              <w:rPr>
                <w:rFonts w:ascii="Calibri" w:eastAsia="Calibri" w:hAnsi="Calibri" w:cs="Times New Roman"/>
              </w:rPr>
            </w:pPr>
          </w:p>
        </w:tc>
        <w:tc>
          <w:tcPr>
            <w:tcW w:w="2321" w:type="dxa"/>
            <w:gridSpan w:val="2"/>
          </w:tcPr>
          <w:p>
            <w:pPr>
              <w:jc w:val="center"/>
              <w:rPr>
                <w:rFonts w:ascii="Calibri" w:eastAsia="Calibri" w:hAnsi="Calibri" w:cs="Times New Roman"/>
              </w:rPr>
            </w:pPr>
            <w:r>
              <w:rPr>
                <w:rFonts w:ascii="Calibri" w:eastAsia="Calibri" w:hAnsi="Calibri" w:cs="Times New Roman"/>
              </w:rPr>
              <w:t xml:space="preserve">Капитальный ремонт </w:t>
            </w:r>
          </w:p>
        </w:tc>
        <w:tc>
          <w:tcPr>
            <w:tcW w:w="4042" w:type="dxa"/>
          </w:tcPr>
          <w:p>
            <w:pPr>
              <w:rPr>
                <w:rFonts w:ascii="Calibri" w:eastAsia="Calibri" w:hAnsi="Calibri" w:cs="Times New Roman"/>
              </w:rPr>
            </w:pPr>
            <w:r>
              <w:rPr>
                <w:rFonts w:ascii="Calibri" w:eastAsia="Calibri" w:hAnsi="Calibri" w:cs="Times New Roman"/>
              </w:rPr>
              <w:t>Капитальный ремонт дымовой трубы котельной</w:t>
            </w:r>
          </w:p>
        </w:tc>
        <w:tc>
          <w:tcPr>
            <w:tcW w:w="1852" w:type="dxa"/>
            <w:gridSpan w:val="3"/>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2026</w:t>
            </w:r>
          </w:p>
        </w:tc>
        <w:tc>
          <w:tcPr>
            <w:tcW w:w="1676" w:type="dxa"/>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6 000,00</w:t>
            </w:r>
          </w:p>
        </w:tc>
        <w:tc>
          <w:tcPr>
            <w:tcW w:w="1764" w:type="dxa"/>
            <w:gridSpan w:val="2"/>
          </w:tcPr>
          <w:p>
            <w:pPr>
              <w:rPr>
                <w:rFonts w:ascii="Calibri" w:eastAsia="Calibri" w:hAnsi="Calibri" w:cs="Times New Roman"/>
              </w:rPr>
            </w:pPr>
            <w:r>
              <w:rPr>
                <w:rFonts w:ascii="Calibri" w:eastAsia="Calibri" w:hAnsi="Calibri" w:cs="Times New Roman"/>
              </w:rPr>
              <w:t>За счет средств бюджета</w:t>
            </w:r>
          </w:p>
        </w:tc>
      </w:tr>
      <w:tr>
        <w:trPr>
          <w:gridAfter w:val="1"/>
          <w:wAfter w:w="12" w:type="dxa"/>
          <w:trHeight w:val="277"/>
        </w:trPr>
        <w:tc>
          <w:tcPr>
            <w:tcW w:w="1649" w:type="dxa"/>
            <w:vMerge/>
            <w:tcBorders>
              <w:bottom w:val="nil"/>
            </w:tcBorders>
          </w:tcPr>
          <w:p>
            <w:pPr>
              <w:rPr>
                <w:rFonts w:ascii="Calibri" w:eastAsia="Calibri" w:hAnsi="Calibri" w:cs="Times New Roman"/>
              </w:rPr>
            </w:pPr>
          </w:p>
        </w:tc>
        <w:tc>
          <w:tcPr>
            <w:tcW w:w="1701" w:type="dxa"/>
            <w:vMerge/>
          </w:tcPr>
          <w:p>
            <w:pPr>
              <w:rPr>
                <w:rFonts w:ascii="Calibri" w:eastAsia="Calibri" w:hAnsi="Calibri" w:cs="Times New Roman"/>
              </w:rPr>
            </w:pPr>
          </w:p>
        </w:tc>
        <w:tc>
          <w:tcPr>
            <w:tcW w:w="2321" w:type="dxa"/>
            <w:gridSpan w:val="2"/>
          </w:tcPr>
          <w:p>
            <w:pPr>
              <w:jc w:val="center"/>
              <w:rPr>
                <w:rFonts w:ascii="Calibri" w:eastAsia="Calibri" w:hAnsi="Calibri" w:cs="Times New Roman"/>
              </w:rPr>
            </w:pPr>
            <w:r>
              <w:rPr>
                <w:rFonts w:ascii="Calibri" w:eastAsia="Calibri" w:hAnsi="Calibri" w:cs="Times New Roman"/>
              </w:rPr>
              <w:t>Реконструкция</w:t>
            </w:r>
          </w:p>
        </w:tc>
        <w:tc>
          <w:tcPr>
            <w:tcW w:w="4042" w:type="dxa"/>
          </w:tcPr>
          <w:p>
            <w:pPr>
              <w:rPr>
                <w:rFonts w:ascii="Calibri" w:eastAsia="Calibri" w:hAnsi="Calibri" w:cs="Times New Roman"/>
              </w:rPr>
            </w:pPr>
            <w:r>
              <w:rPr>
                <w:rFonts w:ascii="Calibri" w:eastAsia="Calibri" w:hAnsi="Calibri" w:cs="Times New Roman"/>
              </w:rPr>
              <w:t>Реконструкция ограждения территории котельной</w:t>
            </w:r>
          </w:p>
        </w:tc>
        <w:tc>
          <w:tcPr>
            <w:tcW w:w="1852" w:type="dxa"/>
            <w:gridSpan w:val="3"/>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2026</w:t>
            </w:r>
          </w:p>
        </w:tc>
        <w:tc>
          <w:tcPr>
            <w:tcW w:w="1676" w:type="dxa"/>
          </w:tcPr>
          <w:p>
            <w:pPr>
              <w:jc w:val="center"/>
              <w:rPr>
                <w:rFonts w:ascii="Calibri" w:eastAsia="Calibri" w:hAnsi="Calibri" w:cs="Times New Roman"/>
              </w:rPr>
            </w:pPr>
          </w:p>
          <w:p>
            <w:pPr>
              <w:jc w:val="center"/>
              <w:rPr>
                <w:rFonts w:ascii="Calibri" w:eastAsia="Calibri" w:hAnsi="Calibri" w:cs="Times New Roman"/>
              </w:rPr>
            </w:pPr>
            <w:r>
              <w:rPr>
                <w:rFonts w:ascii="Calibri" w:eastAsia="Calibri" w:hAnsi="Calibri" w:cs="Times New Roman"/>
              </w:rPr>
              <w:t>3 000,00</w:t>
            </w:r>
          </w:p>
        </w:tc>
        <w:tc>
          <w:tcPr>
            <w:tcW w:w="1764" w:type="dxa"/>
            <w:gridSpan w:val="2"/>
          </w:tcPr>
          <w:p>
            <w:pPr>
              <w:rPr>
                <w:rFonts w:ascii="Calibri" w:eastAsia="Calibri" w:hAnsi="Calibri" w:cs="Times New Roman"/>
              </w:rPr>
            </w:pPr>
            <w:r>
              <w:rPr>
                <w:rFonts w:ascii="Calibri" w:eastAsia="Calibri" w:hAnsi="Calibri" w:cs="Times New Roman"/>
              </w:rPr>
              <w:t>За счет средств бюджета</w:t>
            </w:r>
          </w:p>
        </w:tc>
      </w:tr>
    </w:tbl>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ind w:left="127" w:firstLine="582"/>
        <w:jc w:val="both"/>
        <w:rPr>
          <w:rFonts w:ascii="Times New Roman" w:hAnsi="Times New Roman"/>
          <w:sz w:val="28"/>
        </w:rPr>
      </w:pPr>
    </w:p>
    <w:p>
      <w:pPr>
        <w:spacing w:after="59" w:line="360" w:lineRule="auto"/>
        <w:jc w:val="both"/>
        <w:rPr>
          <w:rFonts w:ascii="Times New Roman" w:hAnsi="Times New Roman"/>
          <w:sz w:val="28"/>
        </w:rPr>
        <w:sectPr>
          <w:pgSz w:w="16838" w:h="11906" w:orient="landscape" w:code="9"/>
          <w:pgMar w:top="1418" w:right="1134" w:bottom="851" w:left="1134"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pPr>
        <w:autoSpaceDE w:val="0"/>
        <w:autoSpaceDN w:val="0"/>
        <w:adjustRightInd w:val="0"/>
        <w:spacing w:after="0" w:line="360" w:lineRule="auto"/>
        <w:jc w:val="both"/>
        <w:rPr>
          <w:rFonts w:ascii="Times New Roman" w:hAnsi="Times New Roman"/>
          <w:sz w:val="28"/>
          <w:szCs w:val="28"/>
        </w:rPr>
      </w:pPr>
    </w:p>
    <w:p>
      <w:pPr>
        <w:autoSpaceDE w:val="0"/>
        <w:autoSpaceDN w:val="0"/>
        <w:adjustRightInd w:val="0"/>
        <w:spacing w:after="0" w:line="240" w:lineRule="auto"/>
        <w:jc w:val="center"/>
        <w:rPr>
          <w:rFonts w:ascii="Times New Roman" w:eastAsia="Times New Roman,Bold" w:hAnsi="Times New Roman"/>
          <w:b/>
          <w:bCs/>
          <w:i/>
          <w:sz w:val="28"/>
          <w:szCs w:val="28"/>
        </w:rPr>
      </w:pPr>
      <w:r>
        <w:rPr>
          <w:rFonts w:ascii="Times New Roman" w:eastAsia="Times New Roman,Bold" w:hAnsi="Times New Roman"/>
          <w:b/>
          <w:bCs/>
          <w:i/>
          <w:sz w:val="28"/>
          <w:szCs w:val="28"/>
        </w:rPr>
        <w:t>РАЗДЕЛ 10. РЕШЕНИЕ ОБ ОПРЕДЕЛЕНИИ ЕДИНОЙ ТЕПЛОСНАБЖАЮЩЕЙ ОРГАНИЗАЦИИ</w:t>
      </w:r>
    </w:p>
    <w:p>
      <w:pPr>
        <w:spacing w:line="360" w:lineRule="auto"/>
        <w:jc w:val="both"/>
        <w:rPr>
          <w:rFonts w:ascii="Times New Roman" w:hAnsi="Times New Roman"/>
          <w:sz w:val="28"/>
        </w:rPr>
      </w:pP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На 2024 г. ЕТО в </w:t>
      </w:r>
      <w:proofErr w:type="spellStart"/>
      <w:r>
        <w:rPr>
          <w:rFonts w:ascii="Times New Roman" w:hAnsi="Times New Roman"/>
          <w:sz w:val="28"/>
          <w:szCs w:val="28"/>
        </w:rPr>
        <w:t>Тигрицком</w:t>
      </w:r>
      <w:proofErr w:type="spellEnd"/>
      <w:r>
        <w:rPr>
          <w:rFonts w:ascii="Times New Roman" w:hAnsi="Times New Roman"/>
          <w:sz w:val="28"/>
          <w:szCs w:val="28"/>
        </w:rPr>
        <w:t xml:space="preserve"> сельсовете Минусинского района является АО «</w:t>
      </w:r>
      <w:proofErr w:type="spellStart"/>
      <w:r>
        <w:rPr>
          <w:rFonts w:ascii="Times New Roman" w:hAnsi="Times New Roman"/>
          <w:sz w:val="28"/>
          <w:szCs w:val="28"/>
        </w:rPr>
        <w:t>КрасЭко</w:t>
      </w:r>
      <w:proofErr w:type="spellEnd"/>
      <w:r>
        <w:rPr>
          <w:rFonts w:ascii="Times New Roman" w:hAnsi="Times New Roman"/>
          <w:sz w:val="28"/>
          <w:szCs w:val="28"/>
        </w:rPr>
        <w:t xml:space="preserve">». </w:t>
      </w:r>
    </w:p>
    <w:p>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Зоной деятельности единой теплоснабжающей организации будет система теплоснабжения на территории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в границах, которых ЕТО обязана обслуживать любых обратившихся к ней потребителей тепловой энергии согласно Правилам организации теплоснабжения, в Российской Федерации (утв. постановлением Правительства РФ от 8 августа 2012г. № 808).</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В соответствии с «Правилами организации теплоснабжения в Российской Федерации» (утв. постановлением Правительства РФ от 8 августа 2012г. № 808), критериями определения единой теплоснабжающей организации являются:</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размер собственного капитала;</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способность в лучшей мере обеспечить надежность теплоснабжения в соответствующей системе теплоснабжения.</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Обоснование соответствия организации, предлагаемой в качестве единой теплоснабжающей организации, критериям определения единой теплоснабжающей организации, устанавливаемым Правительством Российской Федерации, приведено в таблице </w:t>
      </w:r>
    </w:p>
    <w:p>
      <w:pPr>
        <w:autoSpaceDE w:val="0"/>
        <w:autoSpaceDN w:val="0"/>
        <w:adjustRightInd w:val="0"/>
        <w:spacing w:after="0" w:line="240" w:lineRule="auto"/>
        <w:jc w:val="center"/>
        <w:rPr>
          <w:rFonts w:ascii="Times New Roman" w:hAnsi="Times New Roman"/>
          <w:b/>
          <w:i/>
          <w:sz w:val="27"/>
          <w:szCs w:val="27"/>
        </w:rPr>
      </w:pPr>
    </w:p>
    <w:p>
      <w:pPr>
        <w:autoSpaceDE w:val="0"/>
        <w:autoSpaceDN w:val="0"/>
        <w:adjustRightInd w:val="0"/>
        <w:spacing w:after="0" w:line="240" w:lineRule="auto"/>
        <w:jc w:val="center"/>
        <w:rPr>
          <w:rFonts w:ascii="Times New Roman" w:hAnsi="Times New Roman"/>
          <w:b/>
          <w:i/>
          <w:sz w:val="27"/>
          <w:szCs w:val="27"/>
        </w:rPr>
      </w:pPr>
    </w:p>
    <w:p>
      <w:pPr>
        <w:autoSpaceDE w:val="0"/>
        <w:autoSpaceDN w:val="0"/>
        <w:adjustRightInd w:val="0"/>
        <w:spacing w:after="0" w:line="240" w:lineRule="auto"/>
        <w:jc w:val="center"/>
        <w:rPr>
          <w:rFonts w:ascii="Times New Roman" w:hAnsi="Times New Roman"/>
          <w:b/>
          <w:i/>
          <w:sz w:val="27"/>
          <w:szCs w:val="27"/>
        </w:rPr>
      </w:pPr>
    </w:p>
    <w:p>
      <w:pPr>
        <w:autoSpaceDE w:val="0"/>
        <w:autoSpaceDN w:val="0"/>
        <w:adjustRightInd w:val="0"/>
        <w:spacing w:after="0" w:line="240" w:lineRule="auto"/>
        <w:jc w:val="center"/>
        <w:rPr>
          <w:rFonts w:ascii="Times New Roman" w:hAnsi="Times New Roman"/>
          <w:b/>
          <w:i/>
          <w:sz w:val="27"/>
          <w:szCs w:val="27"/>
        </w:rPr>
      </w:pPr>
    </w:p>
    <w:p>
      <w:pPr>
        <w:autoSpaceDE w:val="0"/>
        <w:autoSpaceDN w:val="0"/>
        <w:adjustRightInd w:val="0"/>
        <w:spacing w:after="0" w:line="240" w:lineRule="auto"/>
        <w:jc w:val="center"/>
        <w:rPr>
          <w:rFonts w:ascii="Times New Roman" w:hAnsi="Times New Roman"/>
          <w:b/>
          <w:i/>
          <w:sz w:val="27"/>
          <w:szCs w:val="27"/>
        </w:rPr>
      </w:pPr>
    </w:p>
    <w:p>
      <w:pPr>
        <w:autoSpaceDE w:val="0"/>
        <w:autoSpaceDN w:val="0"/>
        <w:adjustRightInd w:val="0"/>
        <w:spacing w:after="0" w:line="240" w:lineRule="auto"/>
        <w:jc w:val="center"/>
        <w:rPr>
          <w:rFonts w:ascii="Times New Roman" w:hAnsi="Times New Roman"/>
          <w:b/>
          <w:i/>
          <w:sz w:val="27"/>
          <w:szCs w:val="27"/>
        </w:rPr>
      </w:pPr>
    </w:p>
    <w:p>
      <w:pPr>
        <w:autoSpaceDE w:val="0"/>
        <w:autoSpaceDN w:val="0"/>
        <w:adjustRightInd w:val="0"/>
        <w:spacing w:after="0" w:line="240" w:lineRule="auto"/>
        <w:jc w:val="center"/>
        <w:rPr>
          <w:rFonts w:ascii="Times New Roman" w:hAnsi="Times New Roman"/>
          <w:b/>
          <w:i/>
          <w:sz w:val="27"/>
          <w:szCs w:val="27"/>
        </w:rPr>
      </w:pPr>
      <w:r>
        <w:rPr>
          <w:rFonts w:ascii="Times New Roman" w:hAnsi="Times New Roman"/>
          <w:b/>
          <w:i/>
          <w:sz w:val="27"/>
          <w:szCs w:val="27"/>
        </w:rPr>
        <w:lastRenderedPageBreak/>
        <w:t>Таблица – Обоснование соответствия организации критериям определения ЕТО</w:t>
      </w:r>
    </w:p>
    <w:tbl>
      <w:tblPr>
        <w:tblW w:w="9655" w:type="dxa"/>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5"/>
        <w:gridCol w:w="5504"/>
        <w:gridCol w:w="3656"/>
      </w:tblGrid>
      <w:tr>
        <w:trPr>
          <w:trHeight w:val="385"/>
        </w:trPr>
        <w:tc>
          <w:tcPr>
            <w:tcW w:w="495"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w:t>
            </w:r>
          </w:p>
          <w:p>
            <w:pPr>
              <w:autoSpaceDE w:val="0"/>
              <w:autoSpaceDN w:val="0"/>
              <w:adjustRightInd w:val="0"/>
              <w:spacing w:after="0" w:line="240" w:lineRule="auto"/>
              <w:jc w:val="center"/>
              <w:rPr>
                <w:rFonts w:ascii="Times New Roman" w:hAnsi="Times New Roman"/>
                <w:b/>
                <w:i/>
                <w:sz w:val="18"/>
                <w:szCs w:val="18"/>
              </w:rPr>
            </w:pPr>
            <w:proofErr w:type="gramStart"/>
            <w:r>
              <w:rPr>
                <w:rFonts w:ascii="Times New Roman" w:hAnsi="Times New Roman"/>
                <w:b/>
                <w:i/>
                <w:sz w:val="18"/>
                <w:szCs w:val="18"/>
              </w:rPr>
              <w:t>п</w:t>
            </w:r>
            <w:proofErr w:type="gramEnd"/>
            <w:r>
              <w:rPr>
                <w:rFonts w:ascii="Times New Roman" w:hAnsi="Times New Roman"/>
                <w:b/>
                <w:i/>
                <w:sz w:val="18"/>
                <w:szCs w:val="18"/>
              </w:rPr>
              <w:t>/п</w:t>
            </w:r>
          </w:p>
        </w:tc>
        <w:tc>
          <w:tcPr>
            <w:tcW w:w="5504"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Обоснование соответствия организации, критериям определения ЕТО</w:t>
            </w:r>
          </w:p>
        </w:tc>
        <w:tc>
          <w:tcPr>
            <w:tcW w:w="3656"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Организация-претендент на статус единой теплоснабжающей организации</w:t>
            </w:r>
          </w:p>
        </w:tc>
      </w:tr>
      <w:tr>
        <w:trPr>
          <w:trHeight w:val="232"/>
        </w:trPr>
        <w:tc>
          <w:tcPr>
            <w:tcW w:w="495"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1</w:t>
            </w:r>
          </w:p>
        </w:tc>
        <w:tc>
          <w:tcPr>
            <w:tcW w:w="5504" w:type="dxa"/>
            <w:vAlign w:val="center"/>
          </w:tcPr>
          <w:p>
            <w:pPr>
              <w:autoSpaceDE w:val="0"/>
              <w:autoSpaceDN w:val="0"/>
              <w:adjustRightInd w:val="0"/>
              <w:spacing w:after="0" w:line="240" w:lineRule="auto"/>
              <w:jc w:val="center"/>
              <w:rPr>
                <w:rFonts w:ascii="Times New Roman" w:hAnsi="Times New Roman"/>
                <w:sz w:val="18"/>
                <w:szCs w:val="18"/>
              </w:rPr>
            </w:pPr>
            <w:r>
              <w:rPr>
                <w:rFonts w:ascii="Times New Roman" w:hAnsi="Times New Roman"/>
                <w:sz w:val="18"/>
                <w:szCs w:val="18"/>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tc>
        <w:tc>
          <w:tcPr>
            <w:tcW w:w="3656" w:type="dxa"/>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8"/>
                <w:szCs w:val="28"/>
              </w:rPr>
              <w:t>АО «Красноярская региональная энергетическая компания»</w:t>
            </w:r>
          </w:p>
        </w:tc>
      </w:tr>
      <w:tr>
        <w:trPr>
          <w:trHeight w:val="232"/>
        </w:trPr>
        <w:tc>
          <w:tcPr>
            <w:tcW w:w="495"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2</w:t>
            </w:r>
          </w:p>
        </w:tc>
        <w:tc>
          <w:tcPr>
            <w:tcW w:w="5504" w:type="dxa"/>
            <w:shd w:val="clear" w:color="auto" w:fill="E2EFD9" w:themeFill="accent6" w:themeFillTint="33"/>
            <w:vAlign w:val="center"/>
          </w:tcPr>
          <w:p>
            <w:pPr>
              <w:autoSpaceDE w:val="0"/>
              <w:autoSpaceDN w:val="0"/>
              <w:adjustRightInd w:val="0"/>
              <w:spacing w:after="0" w:line="240" w:lineRule="auto"/>
              <w:jc w:val="center"/>
              <w:rPr>
                <w:rFonts w:ascii="Times New Roman" w:hAnsi="Times New Roman"/>
                <w:sz w:val="18"/>
                <w:szCs w:val="18"/>
              </w:rPr>
            </w:pPr>
            <w:r>
              <w:rPr>
                <w:rFonts w:ascii="Times New Roman" w:hAnsi="Times New Roman"/>
                <w:sz w:val="18"/>
                <w:szCs w:val="18"/>
              </w:rPr>
              <w:t>Размер собственного капитала</w:t>
            </w:r>
          </w:p>
        </w:tc>
        <w:tc>
          <w:tcPr>
            <w:tcW w:w="3656" w:type="dxa"/>
            <w:shd w:val="clear" w:color="auto" w:fill="E2EFD9" w:themeFill="accent6" w:themeFillTint="33"/>
            <w:vAlign w:val="center"/>
          </w:tcPr>
          <w:p>
            <w:pPr>
              <w:spacing w:after="0" w:line="240" w:lineRule="auto"/>
              <w:jc w:val="center"/>
              <w:rPr>
                <w:rFonts w:ascii="Times New Roman" w:hAnsi="Times New Roman" w:cs="Times New Roman"/>
                <w:sz w:val="20"/>
                <w:szCs w:val="20"/>
              </w:rPr>
            </w:pPr>
            <w:r>
              <w:rPr>
                <w:rFonts w:ascii="Times New Roman" w:hAnsi="Times New Roman" w:cs="Times New Roman"/>
                <w:sz w:val="28"/>
                <w:szCs w:val="28"/>
              </w:rPr>
              <w:t>АО «Красноярская региональная энергетическая компания»</w:t>
            </w:r>
          </w:p>
        </w:tc>
      </w:tr>
      <w:tr>
        <w:trPr>
          <w:trHeight w:val="234"/>
        </w:trPr>
        <w:tc>
          <w:tcPr>
            <w:tcW w:w="495" w:type="dxa"/>
            <w:shd w:val="clear" w:color="auto" w:fill="C5E0B3" w:themeFill="accent6" w:themeFillTint="66"/>
            <w:vAlign w:val="center"/>
          </w:tcPr>
          <w:p>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3</w:t>
            </w:r>
          </w:p>
        </w:tc>
        <w:tc>
          <w:tcPr>
            <w:tcW w:w="5504" w:type="dxa"/>
            <w:vAlign w:val="center"/>
          </w:tcPr>
          <w:p>
            <w:pPr>
              <w:autoSpaceDE w:val="0"/>
              <w:autoSpaceDN w:val="0"/>
              <w:adjustRightInd w:val="0"/>
              <w:spacing w:after="0" w:line="240" w:lineRule="auto"/>
              <w:jc w:val="center"/>
              <w:rPr>
                <w:rFonts w:ascii="Times New Roman" w:hAnsi="Times New Roman"/>
                <w:sz w:val="18"/>
                <w:szCs w:val="18"/>
              </w:rPr>
            </w:pPr>
            <w:r>
              <w:rPr>
                <w:rFonts w:ascii="Times New Roman" w:hAnsi="Times New Roman"/>
                <w:sz w:val="18"/>
                <w:szCs w:val="18"/>
              </w:rPr>
              <w:t>Способность в лучшей мере обеспечить надежность теплоснабжения в соответствующей системе теплоснабжения</w:t>
            </w:r>
          </w:p>
        </w:tc>
        <w:tc>
          <w:tcPr>
            <w:tcW w:w="3656" w:type="dxa"/>
            <w:vAlign w:val="center"/>
          </w:tcPr>
          <w:p>
            <w:pPr>
              <w:spacing w:after="0" w:line="240" w:lineRule="auto"/>
              <w:jc w:val="center"/>
              <w:rPr>
                <w:rFonts w:ascii="Times New Roman" w:hAnsi="Times New Roman" w:cs="Times New Roman"/>
                <w:sz w:val="18"/>
                <w:szCs w:val="18"/>
              </w:rPr>
            </w:pPr>
            <w:r>
              <w:rPr>
                <w:rFonts w:ascii="Times New Roman" w:hAnsi="Times New Roman" w:cs="Times New Roman"/>
                <w:sz w:val="28"/>
                <w:szCs w:val="28"/>
              </w:rPr>
              <w:t>АО «Красноярская региональная энергетическая компания»</w:t>
            </w:r>
          </w:p>
        </w:tc>
      </w:tr>
    </w:tbl>
    <w:p>
      <w:pPr>
        <w:autoSpaceDE w:val="0"/>
        <w:autoSpaceDN w:val="0"/>
        <w:adjustRightInd w:val="0"/>
        <w:spacing w:before="240" w:after="0" w:line="360" w:lineRule="auto"/>
        <w:ind w:firstLine="567"/>
        <w:jc w:val="both"/>
        <w:rPr>
          <w:rFonts w:ascii="Times New Roman" w:hAnsi="Times New Roman"/>
          <w:sz w:val="28"/>
          <w:szCs w:val="28"/>
        </w:rPr>
      </w:pPr>
      <w:r>
        <w:rPr>
          <w:rFonts w:ascii="Times New Roman" w:hAnsi="Times New Roman"/>
          <w:sz w:val="28"/>
          <w:szCs w:val="28"/>
        </w:rPr>
        <w:t xml:space="preserve">Необходимо отметить, что компания </w:t>
      </w:r>
      <w:r>
        <w:rPr>
          <w:rFonts w:ascii="Times New Roman" w:hAnsi="Times New Roman" w:cs="Times New Roman"/>
          <w:sz w:val="28"/>
          <w:szCs w:val="28"/>
        </w:rPr>
        <w:t xml:space="preserve">АО «Красноярская региональная энергетическая компания» </w:t>
      </w:r>
      <w:r>
        <w:rPr>
          <w:rFonts w:ascii="Times New Roman" w:hAnsi="Times New Roman"/>
          <w:sz w:val="28"/>
          <w:szCs w:val="28"/>
        </w:rPr>
        <w:t xml:space="preserve">имеет возможность в лучшей мере обеспечить надежность теплоснабжения в системах теплоснабжения </w:t>
      </w:r>
      <w:proofErr w:type="spellStart"/>
      <w:r>
        <w:rPr>
          <w:rFonts w:ascii="Times New Roman" w:hAnsi="Times New Roman"/>
          <w:sz w:val="28"/>
          <w:szCs w:val="28"/>
        </w:rPr>
        <w:t>Тигроицкого</w:t>
      </w:r>
      <w:proofErr w:type="spellEnd"/>
      <w:r>
        <w:rPr>
          <w:rFonts w:ascii="Times New Roman" w:hAnsi="Times New Roman"/>
          <w:sz w:val="28"/>
          <w:szCs w:val="28"/>
        </w:rPr>
        <w:t xml:space="preserve"> сельсовета Минусинского района, что подтверждается наличием у </w:t>
      </w:r>
      <w:r>
        <w:rPr>
          <w:rFonts w:ascii="Times New Roman" w:hAnsi="Times New Roman" w:cs="Times New Roman"/>
          <w:sz w:val="28"/>
          <w:szCs w:val="28"/>
        </w:rPr>
        <w:t>АО «Красноярская региональная энергетическая компания»</w:t>
      </w:r>
      <w:r>
        <w:rPr>
          <w:rFonts w:ascii="Times New Roman" w:hAnsi="Times New Roman"/>
          <w:sz w:val="28"/>
          <w:szCs w:val="28"/>
        </w:rPr>
        <w:t xml:space="preserve">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В соответствии с «Правилами организации теплоснабжения в Российской Федерации»,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Информация о поданных теплоснабжающими организациями заявках на присвоение статуса единой теплоснабжающей организации отсутствует.</w:t>
      </w:r>
    </w:p>
    <w:p>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 xml:space="preserve">В границах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действует одна теплоснабжающая организация: </w:t>
      </w:r>
      <w:r>
        <w:rPr>
          <w:rFonts w:ascii="Times New Roman" w:hAnsi="Times New Roman" w:cs="Times New Roman"/>
          <w:sz w:val="28"/>
          <w:szCs w:val="28"/>
        </w:rPr>
        <w:t>АО «Красноярская региональная энергетическая компания»</w:t>
      </w:r>
      <w:r>
        <w:rPr>
          <w:rFonts w:ascii="Times New Roman" w:hAnsi="Times New Roman"/>
          <w:sz w:val="28"/>
          <w:szCs w:val="28"/>
        </w:rPr>
        <w:t xml:space="preserve">. </w:t>
      </w:r>
      <w:r>
        <w:rPr>
          <w:rFonts w:ascii="Times New Roman" w:hAnsi="Times New Roman" w:cs="Times New Roman"/>
          <w:sz w:val="28"/>
          <w:szCs w:val="28"/>
        </w:rPr>
        <w:t>АО «Красноярская региональная энергетическая компания</w:t>
      </w:r>
      <w:r>
        <w:rPr>
          <w:rFonts w:ascii="Times New Roman" w:hAnsi="Times New Roman"/>
          <w:sz w:val="28"/>
          <w:szCs w:val="28"/>
        </w:rPr>
        <w:t xml:space="preserve">» обслуживает источники тепловой энергии на территории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w:t>
      </w:r>
      <w:proofErr w:type="gramStart"/>
      <w:r>
        <w:rPr>
          <w:rFonts w:ascii="Times New Roman" w:hAnsi="Times New Roman"/>
          <w:sz w:val="28"/>
          <w:szCs w:val="28"/>
        </w:rPr>
        <w:t>Минусинского  района</w:t>
      </w:r>
      <w:proofErr w:type="gramEnd"/>
      <w:r>
        <w:rPr>
          <w:rFonts w:ascii="Times New Roman" w:hAnsi="Times New Roman"/>
          <w:sz w:val="28"/>
          <w:szCs w:val="28"/>
        </w:rPr>
        <w:t>.</w:t>
      </w:r>
    </w:p>
    <w:p>
      <w:pPr>
        <w:spacing w:after="0" w:line="360" w:lineRule="auto"/>
        <w:jc w:val="center"/>
        <w:rPr>
          <w:rFonts w:ascii="Times New Roman" w:eastAsia="Times New Roman,Bold" w:hAnsi="Times New Roman"/>
          <w:b/>
          <w:bCs/>
          <w:color w:val="000000" w:themeColor="text1"/>
          <w:sz w:val="28"/>
          <w:szCs w:val="28"/>
        </w:rPr>
      </w:pPr>
      <w:r>
        <w:rPr>
          <w:rFonts w:ascii="Times New Roman" w:eastAsia="Times New Roman,Bold" w:hAnsi="Times New Roman"/>
          <w:b/>
          <w:bCs/>
          <w:color w:val="000000" w:themeColor="text1"/>
          <w:sz w:val="28"/>
          <w:szCs w:val="28"/>
        </w:rPr>
        <w:lastRenderedPageBreak/>
        <w:t>РАЗДЕЛ 11 РЕШЕНИЯ ПО БЕСХОЗЯЙНЫМ ТЕПЛОВЫМ СЕТЯМ</w:t>
      </w:r>
    </w:p>
    <w:p>
      <w:pPr>
        <w:spacing w:after="0" w:line="360" w:lineRule="auto"/>
        <w:jc w:val="center"/>
        <w:rPr>
          <w:rFonts w:ascii="Times New Roman" w:eastAsia="Times New Roman,Bold" w:hAnsi="Times New Roman"/>
          <w:b/>
          <w:bCs/>
          <w:color w:val="000000" w:themeColor="text1"/>
          <w:sz w:val="28"/>
          <w:szCs w:val="28"/>
        </w:rPr>
      </w:pPr>
    </w:p>
    <w:p>
      <w:pPr>
        <w:spacing w:line="360" w:lineRule="auto"/>
        <w:ind w:firstLine="567"/>
        <w:jc w:val="both"/>
        <w:rPr>
          <w:rFonts w:ascii="Times New Roman" w:hAnsi="Times New Roman"/>
          <w:sz w:val="28"/>
          <w:szCs w:val="28"/>
        </w:rPr>
      </w:pPr>
      <w:r>
        <w:rPr>
          <w:rFonts w:ascii="Times New Roman" w:hAnsi="Times New Roman"/>
          <w:sz w:val="28"/>
          <w:szCs w:val="28"/>
        </w:rPr>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Pr>
          <w:rFonts w:ascii="Times New Roman" w:hAnsi="Times New Roman"/>
          <w:sz w:val="28"/>
          <w:szCs w:val="28"/>
        </w:rPr>
        <w:t>теплосетевую</w:t>
      </w:r>
      <w:proofErr w:type="spellEnd"/>
      <w:r>
        <w:rPr>
          <w:rFonts w:ascii="Times New Roman" w:hAnsi="Times New Roman"/>
          <w:sz w:val="28"/>
          <w:szCs w:val="28"/>
        </w:rP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На момент разработки настоящей схемы теплоснабжения не выявлено участков бесхозяйных тепловых сетей.</w:t>
      </w: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b/>
          <w:sz w:val="28"/>
          <w:szCs w:val="28"/>
        </w:rPr>
      </w:pPr>
      <w:r>
        <w:rPr>
          <w:rFonts w:ascii="Times New Roman" w:hAnsi="Times New Roman"/>
          <w:b/>
          <w:sz w:val="28"/>
          <w:szCs w:val="28"/>
        </w:rPr>
        <w:t>РАЗДЕЛ 12 Решения о распределении тепловой нагрузки между источниками тепловой энергии</w:t>
      </w:r>
    </w:p>
    <w:p>
      <w:pPr>
        <w:spacing w:line="360" w:lineRule="auto"/>
        <w:ind w:firstLine="567"/>
        <w:jc w:val="both"/>
        <w:rPr>
          <w:rFonts w:ascii="Times New Roman" w:hAnsi="Times New Roman"/>
          <w:sz w:val="28"/>
          <w:szCs w:val="28"/>
        </w:rPr>
      </w:pPr>
      <w:r>
        <w:rPr>
          <w:rFonts w:ascii="Times New Roman" w:hAnsi="Times New Roman"/>
          <w:sz w:val="28"/>
          <w:szCs w:val="28"/>
        </w:rPr>
        <w:tab/>
        <w:t xml:space="preserve">На территории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расположен один теплоисточник централизованного теплоснабжения, в связи с чем решение о распределении тепловой нагрузки между источниками тепловой энергии отсутствует.</w:t>
      </w: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b/>
          <w:sz w:val="28"/>
          <w:szCs w:val="28"/>
        </w:rPr>
      </w:pPr>
      <w:r>
        <w:rPr>
          <w:rFonts w:ascii="Times New Roman" w:hAnsi="Times New Roman"/>
          <w:b/>
          <w:sz w:val="28"/>
          <w:szCs w:val="28"/>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p>
      <w:pPr>
        <w:spacing w:line="360" w:lineRule="auto"/>
        <w:ind w:firstLine="567"/>
        <w:jc w:val="both"/>
        <w:rPr>
          <w:rFonts w:ascii="Times New Roman" w:hAnsi="Times New Roman"/>
          <w:b/>
          <w:sz w:val="28"/>
          <w:szCs w:val="28"/>
        </w:rPr>
      </w:pPr>
      <w:r>
        <w:rPr>
          <w:rFonts w:ascii="Times New Roman" w:hAnsi="Times New Roman"/>
          <w:b/>
          <w:sz w:val="28"/>
          <w:szCs w:val="28"/>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pPr>
        <w:spacing w:line="360" w:lineRule="auto"/>
        <w:ind w:firstLine="567"/>
        <w:jc w:val="both"/>
        <w:rPr>
          <w:rFonts w:ascii="Times New Roman" w:hAnsi="Times New Roman"/>
          <w:sz w:val="28"/>
          <w:szCs w:val="28"/>
        </w:rPr>
      </w:pPr>
      <w:r>
        <w:rPr>
          <w:rFonts w:ascii="Times New Roman" w:hAnsi="Times New Roman"/>
          <w:sz w:val="28"/>
          <w:szCs w:val="28"/>
        </w:rPr>
        <w:tab/>
        <w:t>Предложений о развитии системы газоснабжения в части обеспечения топливом источников тепловой энергии не рассматривалось, в связи с отсутствием утвержденной региональной (межрегиональной) программы газификации жилищно-коммунального хозяйства, промышленных и иных организаций.</w:t>
      </w:r>
    </w:p>
    <w:p>
      <w:pPr>
        <w:spacing w:line="360" w:lineRule="auto"/>
        <w:ind w:firstLine="567"/>
        <w:jc w:val="both"/>
        <w:rPr>
          <w:rFonts w:ascii="Times New Roman" w:hAnsi="Times New Roman"/>
          <w:b/>
          <w:sz w:val="28"/>
          <w:szCs w:val="28"/>
        </w:rPr>
      </w:pPr>
      <w:r>
        <w:rPr>
          <w:rFonts w:ascii="Times New Roman" w:hAnsi="Times New Roman"/>
          <w:b/>
          <w:sz w:val="28"/>
          <w:szCs w:val="28"/>
        </w:rPr>
        <w:t>13.2. Описание проблем организации газоснабжения источников тепловой энергии.</w:t>
      </w:r>
    </w:p>
    <w:p>
      <w:pPr>
        <w:spacing w:line="360" w:lineRule="auto"/>
        <w:ind w:firstLine="567"/>
        <w:jc w:val="both"/>
        <w:rPr>
          <w:rFonts w:ascii="Times New Roman" w:hAnsi="Times New Roman"/>
          <w:sz w:val="28"/>
          <w:szCs w:val="28"/>
        </w:rPr>
      </w:pPr>
      <w:r>
        <w:rPr>
          <w:rFonts w:ascii="Times New Roman" w:hAnsi="Times New Roman"/>
          <w:sz w:val="28"/>
          <w:szCs w:val="28"/>
        </w:rPr>
        <w:tab/>
        <w:t>Данное мероприятие по организации газоснабжения источников тепловой энергии не рассматривалось, в связи с использованием в качестве топлива на источниках тепловой энергии -бурого угля.</w:t>
      </w:r>
    </w:p>
    <w:p>
      <w:pPr>
        <w:spacing w:line="360" w:lineRule="auto"/>
        <w:ind w:firstLine="567"/>
        <w:jc w:val="both"/>
        <w:rPr>
          <w:rFonts w:ascii="Times New Roman" w:hAnsi="Times New Roman"/>
          <w:sz w:val="28"/>
          <w:szCs w:val="28"/>
        </w:rPr>
      </w:pPr>
      <w:r>
        <w:rPr>
          <w:rFonts w:ascii="Times New Roman" w:hAnsi="Times New Roman"/>
          <w:b/>
          <w:sz w:val="28"/>
          <w:szCs w:val="28"/>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Pr>
          <w:rFonts w:ascii="Times New Roman" w:hAnsi="Times New Roman"/>
          <w:sz w:val="28"/>
          <w:szCs w:val="28"/>
        </w:rPr>
        <w:t>.</w:t>
      </w:r>
    </w:p>
    <w:p>
      <w:pPr>
        <w:spacing w:line="360" w:lineRule="auto"/>
        <w:ind w:firstLine="567"/>
        <w:jc w:val="both"/>
        <w:rPr>
          <w:rFonts w:ascii="Times New Roman" w:hAnsi="Times New Roman"/>
          <w:sz w:val="28"/>
          <w:szCs w:val="28"/>
        </w:rPr>
      </w:pPr>
      <w:r>
        <w:rPr>
          <w:rFonts w:ascii="Times New Roman" w:hAnsi="Times New Roman"/>
          <w:sz w:val="28"/>
          <w:szCs w:val="28"/>
        </w:rPr>
        <w:tab/>
        <w:t xml:space="preserve">В настоящее время на территории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отсутствуют сети газораспределения, по которым транспортируется </w:t>
      </w:r>
      <w:r>
        <w:rPr>
          <w:rFonts w:ascii="Times New Roman" w:hAnsi="Times New Roman"/>
          <w:sz w:val="28"/>
          <w:szCs w:val="28"/>
        </w:rPr>
        <w:lastRenderedPageBreak/>
        <w:t>природный газ к потребителям, а также объекты, подключенные к сетям газораспределения природного газа.</w:t>
      </w:r>
    </w:p>
    <w:p>
      <w:pPr>
        <w:spacing w:line="360" w:lineRule="auto"/>
        <w:ind w:firstLine="567"/>
        <w:jc w:val="both"/>
        <w:rPr>
          <w:rFonts w:ascii="Times New Roman" w:hAnsi="Times New Roman"/>
          <w:sz w:val="28"/>
          <w:szCs w:val="28"/>
        </w:rPr>
      </w:pPr>
      <w:r>
        <w:rPr>
          <w:rFonts w:ascii="Times New Roman" w:hAnsi="Times New Roman"/>
          <w:sz w:val="28"/>
          <w:szCs w:val="28"/>
        </w:rPr>
        <w:tab/>
        <w:t xml:space="preserve">Схема газоснабжения на территории </w:t>
      </w:r>
      <w:proofErr w:type="spellStart"/>
      <w:r>
        <w:rPr>
          <w:rFonts w:ascii="Times New Roman" w:hAnsi="Times New Roman"/>
          <w:sz w:val="28"/>
          <w:szCs w:val="28"/>
        </w:rPr>
        <w:t>Тигрицкого</w:t>
      </w:r>
      <w:proofErr w:type="spellEnd"/>
      <w:r>
        <w:rPr>
          <w:rFonts w:ascii="Times New Roman" w:hAnsi="Times New Roman"/>
          <w:sz w:val="28"/>
          <w:szCs w:val="28"/>
        </w:rPr>
        <w:t xml:space="preserve"> сельсовета Минусинского района на момент актуализации -отсутствует.</w:t>
      </w:r>
    </w:p>
    <w:p>
      <w:pPr>
        <w:spacing w:line="360" w:lineRule="auto"/>
        <w:ind w:firstLine="567"/>
        <w:jc w:val="both"/>
        <w:rPr>
          <w:rFonts w:ascii="Times New Roman" w:hAnsi="Times New Roman"/>
          <w:sz w:val="28"/>
          <w:szCs w:val="28"/>
        </w:rPr>
      </w:pPr>
      <w:r>
        <w:rPr>
          <w:rFonts w:ascii="Times New Roman" w:hAnsi="Times New Roman"/>
          <w:sz w:val="28"/>
          <w:szCs w:val="28"/>
        </w:rPr>
        <w:t>Обеспечение газообразным топливом источников тепловой энергии не планируется.</w:t>
      </w:r>
    </w:p>
    <w:p>
      <w:pPr>
        <w:shd w:val="clear" w:color="auto" w:fill="FFFFFF"/>
        <w:spacing w:before="90" w:after="210" w:line="240" w:lineRule="auto"/>
        <w:jc w:val="both"/>
        <w:rPr>
          <w:rFonts w:ascii="Times New Roman" w:eastAsia="Times New Roman" w:hAnsi="Times New Roman" w:cs="Times New Roman"/>
          <w:b/>
          <w:bCs/>
          <w:color w:val="273350"/>
          <w:sz w:val="28"/>
          <w:szCs w:val="28"/>
          <w:lang w:eastAsia="ru-RU"/>
        </w:rPr>
      </w:pPr>
      <w:r>
        <w:rPr>
          <w:rFonts w:ascii="Times New Roman" w:eastAsia="Times New Roman" w:hAnsi="Times New Roman" w:cs="Times New Roman"/>
          <w:b/>
          <w:bCs/>
          <w:color w:val="273350"/>
          <w:sz w:val="28"/>
          <w:szCs w:val="28"/>
          <w:lang w:eastAsia="ru-RU"/>
        </w:rPr>
        <w:t>Раздел 14 Индикаторы развития систем теплоснабжения поселения, городского округа, города федерального значения.</w:t>
      </w:r>
    </w:p>
    <w:p>
      <w:pPr>
        <w:shd w:val="clear" w:color="auto" w:fill="FFFFFF"/>
        <w:spacing w:before="90" w:after="210" w:line="240" w:lineRule="auto"/>
        <w:jc w:val="both"/>
        <w:rPr>
          <w:rFonts w:ascii="Times New Roman" w:eastAsia="Times New Roman" w:hAnsi="Times New Roman" w:cs="Times New Roman"/>
          <w:color w:val="273350"/>
          <w:sz w:val="28"/>
          <w:szCs w:val="28"/>
          <w:lang w:eastAsia="ru-RU"/>
        </w:rPr>
      </w:pPr>
      <w:r>
        <w:rPr>
          <w:rFonts w:ascii="Times New Roman" w:eastAsia="Times New Roman" w:hAnsi="Times New Roman" w:cs="Times New Roman"/>
          <w:b/>
          <w:bCs/>
          <w:color w:val="273350"/>
          <w:sz w:val="28"/>
          <w:szCs w:val="28"/>
          <w:lang w:eastAsia="ru-RU"/>
        </w:rPr>
        <w:t>Таблица 1. – Индикаторы, характеризующие динамику функционирования источников тепловой энергии в системе теплоснабжения</w:t>
      </w:r>
    </w:p>
    <w:tbl>
      <w:tblPr>
        <w:tblStyle w:val="a5"/>
        <w:tblW w:w="0" w:type="auto"/>
        <w:tblLook w:val="04A0" w:firstRow="1" w:lastRow="0" w:firstColumn="1" w:lastColumn="0" w:noHBand="0" w:noVBand="1"/>
      </w:tblPr>
      <w:tblGrid>
        <w:gridCol w:w="3143"/>
        <w:gridCol w:w="1679"/>
        <w:gridCol w:w="1227"/>
        <w:gridCol w:w="1227"/>
        <w:gridCol w:w="1227"/>
        <w:gridCol w:w="1104"/>
      </w:tblGrid>
      <w:tr>
        <w:trPr>
          <w:trHeight w:val="580"/>
        </w:trPr>
        <w:tc>
          <w:tcPr>
            <w:tcW w:w="3143"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Наименование</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Единица измерения</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2024</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2025</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2026</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2027-2038</w:t>
            </w:r>
          </w:p>
        </w:tc>
      </w:tr>
      <w:tr>
        <w:trPr>
          <w:trHeight w:val="599"/>
        </w:trPr>
        <w:tc>
          <w:tcPr>
            <w:tcW w:w="3143" w:type="dxa"/>
          </w:tcPr>
          <w:p>
            <w:pPr>
              <w:rPr>
                <w:rFonts w:ascii="Times New Roman" w:hAnsi="Times New Roman" w:cs="Times New Roman"/>
                <w:sz w:val="20"/>
                <w:szCs w:val="20"/>
              </w:rPr>
            </w:pPr>
          </w:p>
          <w:p>
            <w:pPr>
              <w:rPr>
                <w:rFonts w:ascii="Times New Roman" w:hAnsi="Times New Roman" w:cs="Times New Roman"/>
                <w:sz w:val="20"/>
                <w:szCs w:val="20"/>
              </w:rPr>
            </w:pPr>
            <w:r>
              <w:rPr>
                <w:rFonts w:ascii="Times New Roman" w:hAnsi="Times New Roman" w:cs="Times New Roman"/>
                <w:sz w:val="20"/>
                <w:szCs w:val="20"/>
              </w:rPr>
              <w:t>Установочная мощность</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Гкал/ч</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1,8</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1,8</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1,8</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1,8</w:t>
            </w:r>
          </w:p>
        </w:tc>
      </w:tr>
      <w:tr>
        <w:trPr>
          <w:trHeight w:val="580"/>
        </w:trPr>
        <w:tc>
          <w:tcPr>
            <w:tcW w:w="3143" w:type="dxa"/>
          </w:tcPr>
          <w:p>
            <w:pPr>
              <w:rPr>
                <w:rFonts w:ascii="Times New Roman" w:hAnsi="Times New Roman" w:cs="Times New Roman"/>
                <w:sz w:val="20"/>
                <w:szCs w:val="20"/>
              </w:rPr>
            </w:pPr>
            <w:r>
              <w:rPr>
                <w:rFonts w:ascii="Times New Roman" w:hAnsi="Times New Roman" w:cs="Times New Roman"/>
                <w:sz w:val="20"/>
                <w:szCs w:val="20"/>
              </w:rPr>
              <w:t>Затраты тепла на собственные нужды</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Гкал/ч</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36,9</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31,2</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42</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42</w:t>
            </w:r>
          </w:p>
        </w:tc>
      </w:tr>
      <w:tr>
        <w:trPr>
          <w:trHeight w:val="740"/>
        </w:trPr>
        <w:tc>
          <w:tcPr>
            <w:tcW w:w="3143" w:type="dxa"/>
          </w:tcPr>
          <w:p>
            <w:pPr>
              <w:rPr>
                <w:rFonts w:ascii="Times New Roman" w:hAnsi="Times New Roman" w:cs="Times New Roman"/>
                <w:sz w:val="20"/>
                <w:szCs w:val="20"/>
              </w:rPr>
            </w:pPr>
          </w:p>
          <w:p>
            <w:pPr>
              <w:rPr>
                <w:rFonts w:ascii="Times New Roman" w:hAnsi="Times New Roman" w:cs="Times New Roman"/>
                <w:sz w:val="20"/>
                <w:szCs w:val="20"/>
              </w:rPr>
            </w:pPr>
            <w:r>
              <w:rPr>
                <w:rFonts w:ascii="Times New Roman" w:hAnsi="Times New Roman" w:cs="Times New Roman"/>
                <w:sz w:val="20"/>
                <w:szCs w:val="20"/>
              </w:rPr>
              <w:t>Присоединенная нагрузка на коллекторах</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Гкал/ч</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0,76</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0,76</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0,76</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0,76</w:t>
            </w:r>
          </w:p>
        </w:tc>
      </w:tr>
      <w:tr>
        <w:trPr>
          <w:trHeight w:val="643"/>
        </w:trPr>
        <w:tc>
          <w:tcPr>
            <w:tcW w:w="3143" w:type="dxa"/>
          </w:tcPr>
          <w:p>
            <w:pPr>
              <w:rPr>
                <w:rFonts w:ascii="Times New Roman" w:hAnsi="Times New Roman" w:cs="Times New Roman"/>
                <w:sz w:val="20"/>
                <w:szCs w:val="20"/>
              </w:rPr>
            </w:pPr>
          </w:p>
          <w:p>
            <w:pPr>
              <w:rPr>
                <w:rFonts w:ascii="Times New Roman" w:hAnsi="Times New Roman" w:cs="Times New Roman"/>
                <w:sz w:val="20"/>
                <w:szCs w:val="20"/>
              </w:rPr>
            </w:pPr>
            <w:r>
              <w:rPr>
                <w:rFonts w:ascii="Times New Roman" w:hAnsi="Times New Roman" w:cs="Times New Roman"/>
                <w:sz w:val="20"/>
                <w:szCs w:val="20"/>
              </w:rPr>
              <w:t>Доля резерва тепловой мощности котельной</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42,2</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42,2</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42,2</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42,2</w:t>
            </w:r>
          </w:p>
        </w:tc>
      </w:tr>
      <w:tr>
        <w:trPr>
          <w:trHeight w:val="648"/>
        </w:trPr>
        <w:tc>
          <w:tcPr>
            <w:tcW w:w="3143" w:type="dxa"/>
          </w:tcPr>
          <w:p>
            <w:pPr>
              <w:rPr>
                <w:rFonts w:ascii="Times New Roman" w:hAnsi="Times New Roman" w:cs="Times New Roman"/>
                <w:sz w:val="20"/>
                <w:szCs w:val="20"/>
              </w:rPr>
            </w:pPr>
          </w:p>
          <w:p>
            <w:pPr>
              <w:rPr>
                <w:rFonts w:ascii="Times New Roman" w:hAnsi="Times New Roman" w:cs="Times New Roman"/>
                <w:sz w:val="20"/>
                <w:szCs w:val="20"/>
              </w:rPr>
            </w:pPr>
            <w:r>
              <w:rPr>
                <w:rFonts w:ascii="Times New Roman" w:hAnsi="Times New Roman" w:cs="Times New Roman"/>
                <w:sz w:val="20"/>
                <w:szCs w:val="20"/>
              </w:rPr>
              <w:t>Отпуск тепловой энергии с коллекторов</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proofErr w:type="spellStart"/>
            <w:proofErr w:type="gramStart"/>
            <w:r>
              <w:rPr>
                <w:rFonts w:ascii="Times New Roman" w:hAnsi="Times New Roman" w:cs="Times New Roman"/>
                <w:sz w:val="20"/>
                <w:szCs w:val="20"/>
              </w:rPr>
              <w:t>тыс</w:t>
            </w:r>
            <w:proofErr w:type="spellEnd"/>
            <w:proofErr w:type="gramEnd"/>
            <w:r>
              <w:rPr>
                <w:rFonts w:ascii="Times New Roman" w:hAnsi="Times New Roman" w:cs="Times New Roman"/>
                <w:sz w:val="20"/>
                <w:szCs w:val="20"/>
              </w:rPr>
              <w:t xml:space="preserve"> Гкал</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1831</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1683,4</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1683,4</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1683,4</w:t>
            </w:r>
          </w:p>
        </w:tc>
      </w:tr>
      <w:tr>
        <w:trPr>
          <w:trHeight w:val="696"/>
        </w:trPr>
        <w:tc>
          <w:tcPr>
            <w:tcW w:w="3143" w:type="dxa"/>
          </w:tcPr>
          <w:p>
            <w:pPr>
              <w:rPr>
                <w:rFonts w:ascii="Times New Roman" w:hAnsi="Times New Roman" w:cs="Times New Roman"/>
                <w:sz w:val="20"/>
                <w:szCs w:val="20"/>
              </w:rPr>
            </w:pPr>
          </w:p>
          <w:p>
            <w:pPr>
              <w:rPr>
                <w:rFonts w:ascii="Times New Roman" w:hAnsi="Times New Roman" w:cs="Times New Roman"/>
                <w:sz w:val="20"/>
                <w:szCs w:val="20"/>
              </w:rPr>
            </w:pPr>
            <w:r>
              <w:rPr>
                <w:rFonts w:ascii="Times New Roman" w:hAnsi="Times New Roman" w:cs="Times New Roman"/>
                <w:sz w:val="20"/>
                <w:szCs w:val="20"/>
              </w:rPr>
              <w:t>Удельный расход условного топлива</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proofErr w:type="gramStart"/>
            <w:r>
              <w:rPr>
                <w:rFonts w:ascii="Times New Roman" w:hAnsi="Times New Roman" w:cs="Times New Roman"/>
                <w:sz w:val="20"/>
                <w:szCs w:val="20"/>
              </w:rPr>
              <w:t>кг</w:t>
            </w:r>
            <w:proofErr w:type="gramEnd"/>
            <w:r>
              <w:rPr>
                <w:rFonts w:ascii="Times New Roman" w:hAnsi="Times New Roman" w:cs="Times New Roman"/>
                <w:sz w:val="20"/>
                <w:szCs w:val="20"/>
              </w:rPr>
              <w:t xml:space="preserve"> </w:t>
            </w:r>
            <w:proofErr w:type="spellStart"/>
            <w:r>
              <w:rPr>
                <w:rFonts w:ascii="Times New Roman" w:hAnsi="Times New Roman" w:cs="Times New Roman"/>
                <w:sz w:val="20"/>
                <w:szCs w:val="20"/>
              </w:rPr>
              <w:t>у.т</w:t>
            </w:r>
            <w:proofErr w:type="spellEnd"/>
            <w:r>
              <w:rPr>
                <w:rFonts w:ascii="Times New Roman" w:hAnsi="Times New Roman" w:cs="Times New Roman"/>
                <w:sz w:val="20"/>
                <w:szCs w:val="20"/>
              </w:rPr>
              <w:t>. /Гкал</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317,61</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370,05</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341,00</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341,00</w:t>
            </w:r>
          </w:p>
        </w:tc>
      </w:tr>
      <w:tr>
        <w:trPr>
          <w:trHeight w:val="967"/>
        </w:trPr>
        <w:tc>
          <w:tcPr>
            <w:tcW w:w="3143" w:type="dxa"/>
          </w:tcPr>
          <w:p>
            <w:pPr>
              <w:rPr>
                <w:rFonts w:ascii="Times New Roman" w:hAnsi="Times New Roman" w:cs="Times New Roman"/>
                <w:sz w:val="20"/>
                <w:szCs w:val="20"/>
              </w:rPr>
            </w:pPr>
          </w:p>
          <w:p>
            <w:pPr>
              <w:rPr>
                <w:rFonts w:ascii="Times New Roman" w:hAnsi="Times New Roman" w:cs="Times New Roman"/>
                <w:sz w:val="20"/>
                <w:szCs w:val="20"/>
              </w:rPr>
            </w:pPr>
            <w:r>
              <w:rPr>
                <w:rFonts w:ascii="Times New Roman" w:hAnsi="Times New Roman" w:cs="Times New Roman"/>
                <w:sz w:val="20"/>
                <w:szCs w:val="20"/>
              </w:rPr>
              <w:t>Частота отказов с прекращением теплоснабжения от котельной</w:t>
            </w:r>
          </w:p>
        </w:tc>
        <w:tc>
          <w:tcPr>
            <w:tcW w:w="1679"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1/год</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w:t>
            </w:r>
          </w:p>
          <w:p>
            <w:pPr>
              <w:jc w:val="center"/>
              <w:rPr>
                <w:rFonts w:ascii="Times New Roman" w:hAnsi="Times New Roman" w:cs="Times New Roman"/>
                <w:sz w:val="20"/>
                <w:szCs w:val="20"/>
              </w:rPr>
            </w:pP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w:t>
            </w:r>
          </w:p>
        </w:tc>
        <w:tc>
          <w:tcPr>
            <w:tcW w:w="1227"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w:t>
            </w:r>
          </w:p>
        </w:tc>
        <w:tc>
          <w:tcPr>
            <w:tcW w:w="1104" w:type="dxa"/>
          </w:tcPr>
          <w:p>
            <w:pPr>
              <w:jc w:val="center"/>
              <w:rPr>
                <w:rFonts w:ascii="Times New Roman" w:hAnsi="Times New Roman" w:cs="Times New Roman"/>
                <w:sz w:val="20"/>
                <w:szCs w:val="20"/>
              </w:rPr>
            </w:pPr>
          </w:p>
          <w:p>
            <w:pPr>
              <w:jc w:val="center"/>
              <w:rPr>
                <w:rFonts w:ascii="Times New Roman" w:hAnsi="Times New Roman" w:cs="Times New Roman"/>
                <w:sz w:val="20"/>
                <w:szCs w:val="20"/>
              </w:rPr>
            </w:pPr>
            <w:r>
              <w:rPr>
                <w:rFonts w:ascii="Times New Roman" w:hAnsi="Times New Roman" w:cs="Times New Roman"/>
                <w:sz w:val="20"/>
                <w:szCs w:val="20"/>
              </w:rPr>
              <w:t>0</w:t>
            </w:r>
          </w:p>
        </w:tc>
      </w:tr>
    </w:tbl>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bookmarkStart w:id="6" w:name="_GoBack"/>
      <w:bookmarkEnd w:id="6"/>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Montserrat" w:eastAsia="Times New Roman" w:hAnsi="Montserrat" w:cs="Times New Roman"/>
          <w:b/>
          <w:bCs/>
          <w:color w:val="273350"/>
          <w:sz w:val="24"/>
          <w:szCs w:val="24"/>
          <w:lang w:eastAsia="ru-RU"/>
        </w:rPr>
      </w:pPr>
    </w:p>
    <w:p>
      <w:pPr>
        <w:shd w:val="clear" w:color="auto" w:fill="FFFFFF"/>
        <w:spacing w:before="90" w:after="210" w:line="240" w:lineRule="auto"/>
        <w:jc w:val="both"/>
        <w:rPr>
          <w:rFonts w:ascii="Times New Roman" w:eastAsia="Times New Roman" w:hAnsi="Times New Roman" w:cs="Times New Roman"/>
          <w:color w:val="273350"/>
          <w:sz w:val="28"/>
          <w:szCs w:val="28"/>
          <w:lang w:eastAsia="ru-RU"/>
        </w:rPr>
      </w:pPr>
      <w:r>
        <w:rPr>
          <w:rFonts w:ascii="Times New Roman" w:eastAsia="Times New Roman" w:hAnsi="Times New Roman" w:cs="Times New Roman"/>
          <w:b/>
          <w:bCs/>
          <w:color w:val="273350"/>
          <w:sz w:val="28"/>
          <w:szCs w:val="28"/>
          <w:lang w:eastAsia="ru-RU"/>
        </w:rPr>
        <w:t>Раздел 15 Ценовые (тарифные) последствия.</w:t>
      </w:r>
    </w:p>
    <w:tbl>
      <w:tblPr>
        <w:tblW w:w="9486" w:type="dxa"/>
        <w:tblCellMar>
          <w:top w:w="15" w:type="dxa"/>
          <w:left w:w="15" w:type="dxa"/>
          <w:bottom w:w="15" w:type="dxa"/>
          <w:right w:w="15" w:type="dxa"/>
        </w:tblCellMar>
        <w:tblLook w:val="04A0" w:firstRow="1" w:lastRow="0" w:firstColumn="1" w:lastColumn="0" w:noHBand="0" w:noVBand="1"/>
      </w:tblPr>
      <w:tblGrid>
        <w:gridCol w:w="783"/>
        <w:gridCol w:w="60"/>
        <w:gridCol w:w="3982"/>
        <w:gridCol w:w="4423"/>
        <w:gridCol w:w="202"/>
        <w:gridCol w:w="36"/>
      </w:tblGrid>
      <w:tr>
        <w:trPr>
          <w:trHeight w:val="1122"/>
        </w:trPr>
        <w:tc>
          <w:tcPr>
            <w:tcW w:w="783" w:type="dxa"/>
            <w:tcBorders>
              <w:top w:val="single" w:sz="6" w:space="0" w:color="000000"/>
              <w:left w:val="single" w:sz="6" w:space="0" w:color="000000"/>
              <w:bottom w:val="single" w:sz="6" w:space="0" w:color="000000"/>
              <w:right w:val="single" w:sz="6" w:space="0" w:color="000000"/>
            </w:tcBorders>
            <w:vAlign w:val="center"/>
            <w:hideMark/>
          </w:tcPr>
          <w:p>
            <w:pPr>
              <w:spacing w:before="90" w:after="210" w:line="240" w:lineRule="auto"/>
              <w:jc w:val="center"/>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b/>
                <w:bCs/>
                <w:sz w:val="28"/>
                <w:szCs w:val="28"/>
                <w:lang w:eastAsia="ru-RU"/>
              </w:rPr>
              <w:t>п</w:t>
            </w:r>
            <w:proofErr w:type="gramEnd"/>
            <w:r>
              <w:rPr>
                <w:rFonts w:ascii="Times New Roman" w:eastAsia="Times New Roman" w:hAnsi="Times New Roman" w:cs="Times New Roman"/>
                <w:b/>
                <w:bCs/>
                <w:sz w:val="28"/>
                <w:szCs w:val="28"/>
                <w:lang w:eastAsia="ru-RU"/>
              </w:rPr>
              <w:t>/п</w:t>
            </w:r>
          </w:p>
        </w:tc>
        <w:tc>
          <w:tcPr>
            <w:tcW w:w="4042" w:type="dxa"/>
            <w:gridSpan w:val="2"/>
            <w:tcBorders>
              <w:top w:val="single" w:sz="6" w:space="0" w:color="000000"/>
              <w:left w:val="nil"/>
              <w:bottom w:val="single" w:sz="6" w:space="0" w:color="000000"/>
              <w:right w:val="single" w:sz="6" w:space="0" w:color="000000"/>
            </w:tcBorders>
            <w:vAlign w:val="center"/>
            <w:hideMark/>
          </w:tcPr>
          <w:p>
            <w:pPr>
              <w:spacing w:before="90" w:after="21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Наименование предприятия</w:t>
            </w:r>
          </w:p>
        </w:tc>
        <w:tc>
          <w:tcPr>
            <w:tcW w:w="4423" w:type="dxa"/>
            <w:tcBorders>
              <w:top w:val="single" w:sz="6" w:space="0" w:color="000000"/>
              <w:left w:val="nil"/>
              <w:bottom w:val="single" w:sz="6" w:space="0" w:color="000000"/>
              <w:right w:val="single" w:sz="6" w:space="0" w:color="000000"/>
            </w:tcBorders>
            <w:vAlign w:val="center"/>
            <w:hideMark/>
          </w:tcPr>
          <w:p>
            <w:pPr>
              <w:spacing w:before="90" w:after="21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xml:space="preserve">Тариф, установленный министерством тарифной </w:t>
            </w:r>
            <w:proofErr w:type="gramStart"/>
            <w:r>
              <w:rPr>
                <w:rFonts w:ascii="Times New Roman" w:eastAsia="Times New Roman" w:hAnsi="Times New Roman" w:cs="Times New Roman"/>
                <w:b/>
                <w:bCs/>
                <w:sz w:val="28"/>
                <w:szCs w:val="28"/>
                <w:lang w:eastAsia="ru-RU"/>
              </w:rPr>
              <w:t>политики  приказ</w:t>
            </w:r>
            <w:proofErr w:type="gramEnd"/>
            <w:r>
              <w:rPr>
                <w:rFonts w:ascii="Times New Roman" w:eastAsia="Times New Roman" w:hAnsi="Times New Roman" w:cs="Times New Roman"/>
                <w:b/>
                <w:bCs/>
                <w:sz w:val="28"/>
                <w:szCs w:val="28"/>
                <w:lang w:eastAsia="ru-RU"/>
              </w:rPr>
              <w:t xml:space="preserve"> №344-п от 19.12.2024г (руб. с НДС)</w:t>
            </w:r>
          </w:p>
        </w:tc>
        <w:tc>
          <w:tcPr>
            <w:tcW w:w="202" w:type="dxa"/>
            <w:tcBorders>
              <w:top w:val="nil"/>
              <w:left w:val="nil"/>
              <w:bottom w:val="nil"/>
              <w:right w:val="nil"/>
            </w:tcBorders>
            <w:vAlign w:val="center"/>
            <w:hideMark/>
          </w:tcPr>
          <w:p>
            <w:pPr>
              <w:spacing w:after="0" w:line="240" w:lineRule="auto"/>
              <w:rPr>
                <w:rFonts w:ascii="Times New Roman" w:eastAsia="Times New Roman" w:hAnsi="Times New Roman" w:cs="Times New Roman"/>
                <w:sz w:val="28"/>
                <w:szCs w:val="28"/>
                <w:lang w:eastAsia="ru-RU"/>
              </w:rPr>
            </w:pPr>
          </w:p>
        </w:tc>
        <w:tc>
          <w:tcPr>
            <w:tcW w:w="36" w:type="dxa"/>
            <w:tcBorders>
              <w:top w:val="nil"/>
              <w:left w:val="nil"/>
              <w:bottom w:val="nil"/>
              <w:right w:val="nil"/>
            </w:tcBorders>
            <w:vAlign w:val="center"/>
            <w:hideMark/>
          </w:tcPr>
          <w:p>
            <w:pPr>
              <w:spacing w:after="0" w:line="240" w:lineRule="auto"/>
              <w:rPr>
                <w:rFonts w:ascii="Times New Roman" w:eastAsia="Times New Roman" w:hAnsi="Times New Roman" w:cs="Times New Roman"/>
                <w:sz w:val="28"/>
                <w:szCs w:val="28"/>
                <w:lang w:eastAsia="ru-RU"/>
              </w:rPr>
            </w:pPr>
          </w:p>
        </w:tc>
      </w:tr>
      <w:tr>
        <w:trPr>
          <w:trHeight w:val="506"/>
        </w:trPr>
        <w:tc>
          <w:tcPr>
            <w:tcW w:w="9248" w:type="dxa"/>
            <w:gridSpan w:val="4"/>
            <w:tcBorders>
              <w:top w:val="nil"/>
              <w:left w:val="single" w:sz="6" w:space="0" w:color="000000"/>
              <w:bottom w:val="single" w:sz="6" w:space="0" w:color="000000"/>
              <w:right w:val="single" w:sz="6" w:space="0" w:color="000000"/>
            </w:tcBorders>
            <w:vAlign w:val="center"/>
            <w:hideMark/>
          </w:tcPr>
          <w:p>
            <w:pPr>
              <w:spacing w:before="90" w:after="21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Тепловая энергия</w:t>
            </w:r>
          </w:p>
        </w:tc>
        <w:tc>
          <w:tcPr>
            <w:tcW w:w="202" w:type="dxa"/>
            <w:tcBorders>
              <w:top w:val="nil"/>
              <w:left w:val="nil"/>
              <w:bottom w:val="nil"/>
              <w:right w:val="nil"/>
            </w:tcBorders>
            <w:vAlign w:val="center"/>
            <w:hideMark/>
          </w:tcPr>
          <w:p>
            <w:pPr>
              <w:spacing w:after="0" w:line="240" w:lineRule="auto"/>
              <w:rPr>
                <w:rFonts w:ascii="Times New Roman" w:eastAsia="Times New Roman" w:hAnsi="Times New Roman" w:cs="Times New Roman"/>
                <w:sz w:val="28"/>
                <w:szCs w:val="28"/>
                <w:lang w:eastAsia="ru-RU"/>
              </w:rPr>
            </w:pPr>
          </w:p>
        </w:tc>
        <w:tc>
          <w:tcPr>
            <w:tcW w:w="36" w:type="dxa"/>
            <w:tcBorders>
              <w:top w:val="nil"/>
              <w:left w:val="nil"/>
              <w:bottom w:val="nil"/>
              <w:right w:val="nil"/>
            </w:tcBorders>
            <w:vAlign w:val="center"/>
            <w:hideMark/>
          </w:tcPr>
          <w:p>
            <w:pPr>
              <w:spacing w:after="0" w:line="240" w:lineRule="auto"/>
              <w:rPr>
                <w:rFonts w:ascii="Times New Roman" w:eastAsia="Times New Roman" w:hAnsi="Times New Roman" w:cs="Times New Roman"/>
                <w:sz w:val="28"/>
                <w:szCs w:val="28"/>
                <w:lang w:eastAsia="ru-RU"/>
              </w:rPr>
            </w:pPr>
          </w:p>
        </w:tc>
      </w:tr>
      <w:tr>
        <w:trPr>
          <w:trHeight w:val="316"/>
        </w:trPr>
        <w:tc>
          <w:tcPr>
            <w:tcW w:w="843" w:type="dxa"/>
            <w:gridSpan w:val="2"/>
            <w:tcBorders>
              <w:top w:val="single" w:sz="6" w:space="0" w:color="000000"/>
              <w:left w:val="single" w:sz="6" w:space="0" w:color="000000"/>
              <w:bottom w:val="single" w:sz="4" w:space="0" w:color="auto"/>
              <w:right w:val="single" w:sz="6" w:space="0" w:color="000000"/>
            </w:tcBorders>
            <w:vAlign w:val="center"/>
          </w:tcPr>
          <w:p>
            <w:pPr>
              <w:spacing w:before="90" w:after="21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3982" w:type="dxa"/>
            <w:tcBorders>
              <w:top w:val="single" w:sz="6" w:space="0" w:color="000000"/>
              <w:left w:val="single" w:sz="6" w:space="0" w:color="000000"/>
              <w:bottom w:val="single" w:sz="4" w:space="0" w:color="auto"/>
              <w:right w:val="single" w:sz="6" w:space="0" w:color="000000"/>
            </w:tcBorders>
            <w:vAlign w:val="center"/>
          </w:tcPr>
          <w:p>
            <w:pPr>
              <w:spacing w:before="90" w:after="21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АО «Красноярская региональная энергетическая компания»</w:t>
            </w:r>
          </w:p>
        </w:tc>
        <w:tc>
          <w:tcPr>
            <w:tcW w:w="4423" w:type="dxa"/>
            <w:tcBorders>
              <w:top w:val="single" w:sz="6" w:space="0" w:color="000000"/>
              <w:left w:val="single" w:sz="6" w:space="0" w:color="000000"/>
              <w:bottom w:val="single" w:sz="4" w:space="0" w:color="auto"/>
              <w:right w:val="single" w:sz="6" w:space="0" w:color="000000"/>
            </w:tcBorders>
            <w:vAlign w:val="center"/>
          </w:tcPr>
          <w:p>
            <w:pPr>
              <w:spacing w:before="90" w:after="210" w:line="240" w:lineRule="auto"/>
              <w:jc w:val="center"/>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с</w:t>
            </w:r>
            <w:proofErr w:type="gramEnd"/>
            <w:r>
              <w:rPr>
                <w:rFonts w:ascii="Times New Roman" w:eastAsia="Times New Roman" w:hAnsi="Times New Roman" w:cs="Times New Roman"/>
                <w:sz w:val="28"/>
                <w:szCs w:val="28"/>
                <w:lang w:eastAsia="ru-RU"/>
              </w:rPr>
              <w:t xml:space="preserve"> 01.01.2025-30.06.2025- 11 436,28</w:t>
            </w:r>
          </w:p>
          <w:p>
            <w:pPr>
              <w:spacing w:before="90" w:after="210" w:line="240" w:lineRule="auto"/>
              <w:jc w:val="center"/>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с</w:t>
            </w:r>
            <w:proofErr w:type="gramEnd"/>
            <w:r>
              <w:rPr>
                <w:rFonts w:ascii="Times New Roman" w:eastAsia="Times New Roman" w:hAnsi="Times New Roman" w:cs="Times New Roman"/>
                <w:sz w:val="28"/>
                <w:szCs w:val="28"/>
                <w:lang w:eastAsia="ru-RU"/>
              </w:rPr>
              <w:t xml:space="preserve"> 01.07.2025-31.12.2025 – 13 723,54</w:t>
            </w:r>
          </w:p>
        </w:tc>
        <w:tc>
          <w:tcPr>
            <w:tcW w:w="202" w:type="dxa"/>
            <w:tcBorders>
              <w:top w:val="nil"/>
              <w:left w:val="nil"/>
              <w:bottom w:val="nil"/>
              <w:right w:val="nil"/>
            </w:tcBorders>
            <w:vAlign w:val="center"/>
          </w:tcPr>
          <w:p>
            <w:pPr>
              <w:spacing w:after="0" w:line="240" w:lineRule="auto"/>
              <w:rPr>
                <w:rFonts w:ascii="Times New Roman" w:eastAsia="Times New Roman" w:hAnsi="Times New Roman" w:cs="Times New Roman"/>
                <w:sz w:val="28"/>
                <w:szCs w:val="28"/>
                <w:lang w:eastAsia="ru-RU"/>
              </w:rPr>
            </w:pPr>
          </w:p>
        </w:tc>
        <w:tc>
          <w:tcPr>
            <w:tcW w:w="36" w:type="dxa"/>
            <w:tcBorders>
              <w:top w:val="nil"/>
              <w:left w:val="nil"/>
              <w:bottom w:val="nil"/>
              <w:right w:val="nil"/>
            </w:tcBorders>
            <w:vAlign w:val="center"/>
          </w:tcPr>
          <w:p>
            <w:pPr>
              <w:spacing w:after="0" w:line="240" w:lineRule="auto"/>
              <w:rPr>
                <w:rFonts w:ascii="Times New Roman" w:eastAsia="Times New Roman" w:hAnsi="Times New Roman" w:cs="Times New Roman"/>
                <w:sz w:val="28"/>
                <w:szCs w:val="28"/>
                <w:lang w:eastAsia="ru-RU"/>
              </w:rPr>
            </w:pPr>
          </w:p>
        </w:tc>
      </w:tr>
      <w:tr>
        <w:trPr>
          <w:trHeight w:val="431"/>
        </w:trPr>
        <w:tc>
          <w:tcPr>
            <w:tcW w:w="783" w:type="dxa"/>
            <w:vMerge w:val="restart"/>
            <w:tcBorders>
              <w:top w:val="single" w:sz="4" w:space="0" w:color="auto"/>
              <w:left w:val="single" w:sz="6" w:space="0" w:color="000000"/>
              <w:bottom w:val="single" w:sz="6" w:space="0" w:color="000000"/>
              <w:right w:val="single" w:sz="6" w:space="0" w:color="000000"/>
            </w:tcBorders>
            <w:vAlign w:val="center"/>
            <w:hideMark/>
          </w:tcPr>
          <w:p>
            <w:pPr>
              <w:spacing w:before="90" w:after="21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4042" w:type="dxa"/>
            <w:gridSpan w:val="2"/>
            <w:vMerge w:val="restart"/>
            <w:tcBorders>
              <w:top w:val="single" w:sz="4" w:space="0" w:color="auto"/>
              <w:left w:val="nil"/>
              <w:bottom w:val="single" w:sz="6" w:space="0" w:color="000000"/>
              <w:right w:val="single" w:sz="6" w:space="0" w:color="000000"/>
            </w:tcBorders>
            <w:vAlign w:val="center"/>
            <w:hideMark/>
          </w:tcPr>
          <w:p>
            <w:pPr>
              <w:spacing w:before="90" w:after="21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АО «Красноярская региональная энергетическая компания»</w:t>
            </w:r>
          </w:p>
        </w:tc>
        <w:tc>
          <w:tcPr>
            <w:tcW w:w="4423" w:type="dxa"/>
            <w:vMerge w:val="restart"/>
            <w:tcBorders>
              <w:top w:val="single" w:sz="4" w:space="0" w:color="auto"/>
              <w:left w:val="nil"/>
              <w:bottom w:val="single" w:sz="6" w:space="0" w:color="000000"/>
              <w:right w:val="single" w:sz="6" w:space="0" w:color="000000"/>
            </w:tcBorders>
            <w:vAlign w:val="center"/>
            <w:hideMark/>
          </w:tcPr>
          <w:p>
            <w:pPr>
              <w:spacing w:before="90" w:after="210" w:line="240" w:lineRule="auto"/>
              <w:jc w:val="center"/>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с</w:t>
            </w:r>
            <w:proofErr w:type="gramEnd"/>
            <w:r>
              <w:rPr>
                <w:rFonts w:ascii="Times New Roman" w:eastAsia="Times New Roman" w:hAnsi="Times New Roman" w:cs="Times New Roman"/>
                <w:sz w:val="28"/>
                <w:szCs w:val="28"/>
                <w:lang w:eastAsia="ru-RU"/>
              </w:rPr>
              <w:t xml:space="preserve"> 01.01.2026-30.06.2026- 13 723,54</w:t>
            </w:r>
          </w:p>
          <w:p>
            <w:pPr>
              <w:spacing w:before="90" w:after="210" w:line="240" w:lineRule="auto"/>
              <w:jc w:val="center"/>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с</w:t>
            </w:r>
            <w:proofErr w:type="gramEnd"/>
            <w:r>
              <w:rPr>
                <w:rFonts w:ascii="Times New Roman" w:eastAsia="Times New Roman" w:hAnsi="Times New Roman" w:cs="Times New Roman"/>
                <w:sz w:val="28"/>
                <w:szCs w:val="28"/>
                <w:lang w:eastAsia="ru-RU"/>
              </w:rPr>
              <w:t xml:space="preserve"> 01.07.2026-31.12.2026 – 13 746,28</w:t>
            </w:r>
          </w:p>
        </w:tc>
        <w:tc>
          <w:tcPr>
            <w:tcW w:w="202" w:type="dxa"/>
            <w:tcBorders>
              <w:top w:val="nil"/>
              <w:left w:val="nil"/>
              <w:bottom w:val="nil"/>
              <w:right w:val="nil"/>
            </w:tcBorders>
            <w:vAlign w:val="center"/>
            <w:hideMark/>
          </w:tcPr>
          <w:p>
            <w:pPr>
              <w:spacing w:after="0" w:line="240" w:lineRule="auto"/>
              <w:rPr>
                <w:rFonts w:ascii="Times New Roman" w:eastAsia="Times New Roman" w:hAnsi="Times New Roman" w:cs="Times New Roman"/>
                <w:sz w:val="28"/>
                <w:szCs w:val="28"/>
                <w:lang w:eastAsia="ru-RU"/>
              </w:rPr>
            </w:pPr>
          </w:p>
        </w:tc>
        <w:tc>
          <w:tcPr>
            <w:tcW w:w="36" w:type="dxa"/>
            <w:tcBorders>
              <w:top w:val="nil"/>
              <w:left w:val="nil"/>
              <w:bottom w:val="nil"/>
              <w:right w:val="nil"/>
            </w:tcBorders>
            <w:vAlign w:val="center"/>
            <w:hideMark/>
          </w:tcPr>
          <w:p>
            <w:pPr>
              <w:spacing w:after="0" w:line="240" w:lineRule="auto"/>
              <w:rPr>
                <w:rFonts w:ascii="Times New Roman" w:eastAsia="Times New Roman" w:hAnsi="Times New Roman" w:cs="Times New Roman"/>
                <w:sz w:val="28"/>
                <w:szCs w:val="28"/>
                <w:lang w:eastAsia="ru-RU"/>
              </w:rPr>
            </w:pPr>
          </w:p>
        </w:tc>
      </w:tr>
      <w:tr>
        <w:trPr>
          <w:trHeight w:val="42"/>
        </w:trPr>
        <w:tc>
          <w:tcPr>
            <w:tcW w:w="0" w:type="auto"/>
            <w:vMerge/>
            <w:tcBorders>
              <w:top w:val="nil"/>
              <w:left w:val="single" w:sz="6" w:space="0" w:color="000000"/>
              <w:bottom w:val="single" w:sz="6" w:space="0" w:color="000000"/>
              <w:right w:val="single" w:sz="6" w:space="0" w:color="000000"/>
            </w:tcBorders>
            <w:vAlign w:val="center"/>
            <w:hideMark/>
          </w:tcPr>
          <w:p>
            <w:pPr>
              <w:spacing w:after="0" w:line="240" w:lineRule="auto"/>
              <w:rPr>
                <w:rFonts w:ascii="Times New Roman" w:eastAsia="Times New Roman" w:hAnsi="Times New Roman" w:cs="Times New Roman"/>
                <w:sz w:val="24"/>
                <w:szCs w:val="24"/>
                <w:lang w:eastAsia="ru-RU"/>
              </w:rPr>
            </w:pPr>
          </w:p>
        </w:tc>
        <w:tc>
          <w:tcPr>
            <w:tcW w:w="0" w:type="auto"/>
            <w:gridSpan w:val="2"/>
            <w:vMerge/>
            <w:tcBorders>
              <w:top w:val="nil"/>
              <w:left w:val="nil"/>
              <w:bottom w:val="single" w:sz="6" w:space="0" w:color="000000"/>
              <w:right w:val="single" w:sz="6" w:space="0" w:color="000000"/>
            </w:tcBorders>
            <w:vAlign w:val="center"/>
            <w:hideMark/>
          </w:tcPr>
          <w:p>
            <w:pPr>
              <w:spacing w:after="0" w:line="240" w:lineRule="auto"/>
              <w:rPr>
                <w:rFonts w:ascii="Times New Roman" w:eastAsia="Times New Roman" w:hAnsi="Times New Roman" w:cs="Times New Roman"/>
                <w:sz w:val="24"/>
                <w:szCs w:val="24"/>
                <w:lang w:eastAsia="ru-RU"/>
              </w:rPr>
            </w:pPr>
          </w:p>
        </w:tc>
        <w:tc>
          <w:tcPr>
            <w:tcW w:w="4423" w:type="dxa"/>
            <w:vMerge/>
            <w:tcBorders>
              <w:top w:val="nil"/>
              <w:left w:val="nil"/>
              <w:bottom w:val="single" w:sz="6" w:space="0" w:color="000000"/>
              <w:right w:val="single" w:sz="6" w:space="0" w:color="000000"/>
            </w:tcBorders>
            <w:vAlign w:val="center"/>
            <w:hideMark/>
          </w:tcPr>
          <w:p>
            <w:pPr>
              <w:spacing w:after="0" w:line="240" w:lineRule="auto"/>
              <w:rPr>
                <w:rFonts w:ascii="Times New Roman" w:eastAsia="Times New Roman" w:hAnsi="Times New Roman" w:cs="Times New Roman"/>
                <w:sz w:val="24"/>
                <w:szCs w:val="24"/>
                <w:lang w:eastAsia="ru-RU"/>
              </w:rPr>
            </w:pPr>
          </w:p>
        </w:tc>
        <w:tc>
          <w:tcPr>
            <w:tcW w:w="202" w:type="dxa"/>
            <w:vAlign w:val="bottom"/>
            <w:hideMark/>
          </w:tcPr>
          <w:p>
            <w:pPr>
              <w:spacing w:after="0" w:line="240" w:lineRule="auto"/>
              <w:rPr>
                <w:rFonts w:ascii="Times New Roman" w:eastAsia="Times New Roman" w:hAnsi="Times New Roman" w:cs="Times New Roman"/>
                <w:sz w:val="20"/>
                <w:szCs w:val="20"/>
                <w:lang w:eastAsia="ru-RU"/>
              </w:rPr>
            </w:pPr>
          </w:p>
        </w:tc>
        <w:tc>
          <w:tcPr>
            <w:tcW w:w="36" w:type="dxa"/>
            <w:tcBorders>
              <w:top w:val="nil"/>
              <w:left w:val="nil"/>
              <w:bottom w:val="nil"/>
              <w:right w:val="nil"/>
            </w:tcBorders>
            <w:vAlign w:val="center"/>
            <w:hideMark/>
          </w:tcPr>
          <w:p>
            <w:pPr>
              <w:spacing w:after="0" w:line="240" w:lineRule="auto"/>
              <w:rPr>
                <w:rFonts w:ascii="Times New Roman" w:eastAsia="Times New Roman" w:hAnsi="Times New Roman" w:cs="Times New Roman"/>
                <w:sz w:val="20"/>
                <w:szCs w:val="20"/>
                <w:lang w:eastAsia="ru-RU"/>
              </w:rPr>
            </w:pPr>
          </w:p>
        </w:tc>
      </w:tr>
    </w:tbl>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sz w:val="28"/>
          <w:szCs w:val="28"/>
        </w:rPr>
      </w:pPr>
    </w:p>
    <w:p>
      <w:pPr>
        <w:spacing w:line="360" w:lineRule="auto"/>
        <w:ind w:firstLine="567"/>
        <w:jc w:val="both"/>
        <w:rPr>
          <w:rFonts w:ascii="Times New Roman" w:hAnsi="Times New Roman"/>
          <w:color w:val="FF0000"/>
        </w:rPr>
        <w:sectPr>
          <w:pgSz w:w="11906" w:h="16838" w:code="9"/>
          <w:pgMar w:top="1134" w:right="851" w:bottom="709"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sectPr>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pPr>
        <w:spacing w:after="0" w:line="240" w:lineRule="auto"/>
      </w:pPr>
      <w:r>
        <w:separator/>
      </w:r>
    </w:p>
  </w:endnote>
  <w:endnote w:type="continuationSeparator" w:id="0">
    <w:p>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Times New Roman,Bold">
    <w:altName w:val="Yu Gothic UI"/>
    <w:panose1 w:val="00000000000000000000"/>
    <w:charset w:val="80"/>
    <w:family w:val="auto"/>
    <w:notTrueType/>
    <w:pitch w:val="default"/>
    <w:sig w:usb0="00000001" w:usb1="08070000" w:usb2="00000010" w:usb3="00000000" w:csb0="00020000" w:csb1="00000000"/>
  </w:font>
  <w:font w:name="Montserrat">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pPr>
        <w:spacing w:after="0" w:line="240" w:lineRule="auto"/>
      </w:pPr>
      <w:r>
        <w:separator/>
      </w:r>
    </w:p>
  </w:footnote>
  <w:footnote w:type="continuationSeparator" w:id="0">
    <w:p>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a3"/>
      <w:contextualSpacing/>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a3"/>
      <w:contextualSpacing/>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2"/>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13BC3E8-85D5-421F-A6F9-556520E79D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style>
  <w:style w:type="table" w:styleId="a5">
    <w:name w:val="Table Grid"/>
    <w:basedOn w:val="a1"/>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0788008">
      <w:bodyDiv w:val="1"/>
      <w:marLeft w:val="0"/>
      <w:marRight w:val="0"/>
      <w:marTop w:val="0"/>
      <w:marBottom w:val="0"/>
      <w:divBdr>
        <w:top w:val="none" w:sz="0" w:space="0" w:color="auto"/>
        <w:left w:val="none" w:sz="0" w:space="0" w:color="auto"/>
        <w:bottom w:val="none" w:sz="0" w:space="0" w:color="auto"/>
        <w:right w:val="none" w:sz="0" w:space="0" w:color="auto"/>
      </w:divBdr>
      <w:divsChild>
        <w:div w:id="744491266">
          <w:marLeft w:val="0"/>
          <w:marRight w:val="0"/>
          <w:marTop w:val="0"/>
          <w:marBottom w:val="0"/>
          <w:divBdr>
            <w:top w:val="none" w:sz="0" w:space="0" w:color="auto"/>
            <w:left w:val="none" w:sz="0" w:space="0" w:color="auto"/>
            <w:bottom w:val="none" w:sz="0" w:space="0" w:color="auto"/>
            <w:right w:val="none" w:sz="0" w:space="0" w:color="auto"/>
          </w:divBdr>
          <w:divsChild>
            <w:div w:id="852258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FE2C86-5FB7-4DF7-95A7-C5AC207ED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Pages>
  <Words>5141</Words>
  <Characters>29305</Characters>
  <Application>Microsoft Office Word</Application>
  <DocSecurity>0</DocSecurity>
  <Lines>244</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34378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6</cp:revision>
  <cp:lastPrinted>2025-07-07T01:44:00Z</cp:lastPrinted>
  <dcterms:created xsi:type="dcterms:W3CDTF">2025-07-07T08:04:00Z</dcterms:created>
  <dcterms:modified xsi:type="dcterms:W3CDTF">2025-07-14T01:15:00Z</dcterms:modified>
</cp:coreProperties>
</file>