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докладу главы по оценке эффективности ОМСУ (607 указ)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I. Экономическое развитие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1. Число субъектов малого и среднего предпринимательства, 2. Доля среднесписочной численности работников (без внешних совместителей) малых и средн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их предприятий в среднесписочной численности работников (без внешних совместителей) всех предприятий и организаций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Показатель «Число субъектов малого и среднего предпринимательства в расчете на 10 тыс. человек населения» в 2024 составил 223,49 СМСП, увели</w:t>
      </w:r>
      <w:r w:rsidRPr="00B969D7">
        <w:rPr>
          <w:rFonts w:ascii="Times New Roman" w:hAnsi="Times New Roman" w:cs="Times New Roman"/>
          <w:sz w:val="28"/>
          <w:szCs w:val="28"/>
        </w:rPr>
        <w:t xml:space="preserve">чилось количество индивидуальных предпринимателей на 9%.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 в Минусинском районе является одним из приоритетных направлений социально-экономического развития района. Так в муниципальной программе Мин</w:t>
      </w:r>
      <w:r w:rsidRPr="00B969D7">
        <w:rPr>
          <w:rFonts w:ascii="Times New Roman" w:hAnsi="Times New Roman" w:cs="Times New Roman"/>
          <w:sz w:val="28"/>
          <w:szCs w:val="28"/>
        </w:rPr>
        <w:t>усинского района «Развитие малого и среднего предпринимательства и инвестиционной деятельности», утвержденную постановлением администрации Минусинского района от 25.10.2013 №857-п в 2024 году поддержано 13 субъектов малого и среднего предпринимательства на</w:t>
      </w:r>
      <w:r w:rsidRPr="00B969D7">
        <w:rPr>
          <w:rFonts w:ascii="Times New Roman" w:hAnsi="Times New Roman" w:cs="Times New Roman"/>
          <w:sz w:val="28"/>
          <w:szCs w:val="28"/>
        </w:rPr>
        <w:t xml:space="preserve"> сумму 14,3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Финансовая поддержка субъектов малого и среднего предпринимательства и самозанятых граждан 2025-2027 гг. составит от 5 млн. рублей</w:t>
      </w:r>
      <w:r w:rsidRPr="00B969D7">
        <w:rPr>
          <w:rFonts w:ascii="Times New Roman" w:hAnsi="Times New Roman" w:cs="Times New Roman"/>
          <w:sz w:val="28"/>
          <w:szCs w:val="28"/>
        </w:rPr>
        <w:t>, на цели и задачи: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субсидия субъектам малого и среднего предпринимательства и физическим лица</w:t>
      </w:r>
      <w:r w:rsidRPr="00B969D7">
        <w:rPr>
          <w:rFonts w:ascii="Times New Roman" w:hAnsi="Times New Roman" w:cs="Times New Roman"/>
          <w:sz w:val="28"/>
          <w:szCs w:val="28"/>
        </w:rPr>
        <w:t>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субсидия на реализацию инвестиционных проектов субъектами малого и среднего предпринимательства;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грантовая</w:t>
      </w:r>
      <w:r w:rsidRPr="00B969D7">
        <w:rPr>
          <w:rFonts w:ascii="Times New Roman" w:hAnsi="Times New Roman" w:cs="Times New Roman"/>
          <w:sz w:val="28"/>
          <w:szCs w:val="28"/>
        </w:rPr>
        <w:t xml:space="preserve"> поддержка в форме субсидии субъектам малого и среднего предпринимательства на начало ведения предпринимательской деятельности в Минусинском районе.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Минусинском районе также оказывается имущественная поддержка субъектов малого и среднего предпринимательс</w:t>
      </w:r>
      <w:r w:rsidRPr="00B969D7">
        <w:rPr>
          <w:rFonts w:ascii="Times New Roman" w:hAnsi="Times New Roman" w:cs="Times New Roman"/>
          <w:sz w:val="28"/>
          <w:szCs w:val="28"/>
        </w:rPr>
        <w:t>тва и самозанятых граждан, а именно</w:t>
      </w:r>
      <w:r w:rsidRPr="00B969D7">
        <w:rPr>
          <w:rFonts w:ascii="Times New Roman" w:hAnsi="Times New Roman" w:cs="Times New Roman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 в аренду для осуществления предпринимательской деятельности.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Такие формы поддержки позволяют создать благоприятные условия для развития малого и среднего предпринимательства и само</w:t>
      </w:r>
      <w:r w:rsidRPr="00B969D7">
        <w:rPr>
          <w:rFonts w:ascii="Times New Roman" w:hAnsi="Times New Roman" w:cs="Times New Roman"/>
          <w:sz w:val="28"/>
          <w:szCs w:val="28"/>
        </w:rPr>
        <w:t>занятых граждан, улучшить инвестиционную привлекательность Минусинского района.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На 2025-2027 годы запланировано увеличение количества субъектов малого и среднего предпринимательства. Катализатором роста числа СМСП являются государственные программы поддерж</w:t>
      </w:r>
      <w:r w:rsidRPr="00B969D7">
        <w:rPr>
          <w:rFonts w:ascii="Times New Roman" w:hAnsi="Times New Roman" w:cs="Times New Roman"/>
          <w:sz w:val="28"/>
          <w:szCs w:val="28"/>
        </w:rPr>
        <w:t xml:space="preserve">ки, такие как кредиты по </w:t>
      </w:r>
      <w:r w:rsidRPr="00B969D7">
        <w:rPr>
          <w:rFonts w:ascii="Times New Roman" w:hAnsi="Times New Roman" w:cs="Times New Roman"/>
          <w:sz w:val="28"/>
          <w:szCs w:val="28"/>
        </w:rPr>
        <w:lastRenderedPageBreak/>
        <w:t>ставкам ниже рыночных и даже ключевой, поручительства для кредитования в банках, лизинг и имущество на льготных условиях. Вторым фактором роста количества СМСП является особый режим ИП, который выбирают многие предприниматели из-за</w:t>
      </w:r>
      <w:r w:rsidRPr="00B969D7">
        <w:rPr>
          <w:rFonts w:ascii="Times New Roman" w:hAnsi="Times New Roman" w:cs="Times New Roman"/>
          <w:sz w:val="28"/>
          <w:szCs w:val="28"/>
        </w:rPr>
        <w:t xml:space="preserve"> того, что не нужно вести полноценный бухгалтерский учет. Третьим фактором влияющим на планируемый рост показателя являются введенные санкций. На рынке освободились целые секторы, которые теперь можно занять отечественной продукцией.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61"/>
        <w:gridCol w:w="1048"/>
        <w:gridCol w:w="1048"/>
        <w:gridCol w:w="1048"/>
        <w:gridCol w:w="1048"/>
        <w:gridCol w:w="1052"/>
      </w:tblGrid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Наименование показат</w:t>
            </w:r>
            <w:r w:rsidRPr="00B969D7">
              <w:rPr>
                <w:rFonts w:ascii="Times New Roman" w:hAnsi="Times New Roman" w:cs="Times New Roman"/>
              </w:rPr>
              <w:t>еля и единицы измерения</w:t>
            </w:r>
          </w:p>
        </w:tc>
        <w:tc>
          <w:tcPr>
            <w:tcW w:w="264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Значения показателя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2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2023 факт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2024 факт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2025 оценка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2026 прогноз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2027 прогноз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 Количество малых и микропредприятий, ед.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2. Количество средних предприятий, ед.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3. Количество индивидуальных предпринимат</w:t>
            </w:r>
            <w:r w:rsidRPr="00B969D7">
              <w:rPr>
                <w:rFonts w:ascii="Times New Roman" w:hAnsi="Times New Roman" w:cs="Times New Roman"/>
              </w:rPr>
              <w:t>елей, ед.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ind w:firstLine="220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3.1. в том числе количество крестьянско-фермерских хозяйств, ед.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 xml:space="preserve">4. Численность постоянного населения муниципального, городского округа (муниципального района)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на</w:t>
            </w:r>
            <w:r w:rsidRPr="00B969D7">
              <w:rPr>
                <w:rFonts w:ascii="Times New Roman" w:hAnsi="Times New Roman" w:cs="Times New Roman"/>
              </w:rPr>
              <w:t xml:space="preserve">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конец отчетного года</w:t>
            </w:r>
            <w:r w:rsidRPr="00B969D7">
              <w:rPr>
                <w:rFonts w:ascii="Times New Roman" w:hAnsi="Times New Roman" w:cs="Times New Roman"/>
              </w:rPr>
              <w:t>, чел.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23 938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23 894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23 842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23 792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23 740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35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5. Число субъектов малого и среднего предпринимательства, ед. на 10 000 чел. ((стр.1+стр.2+стр.3)/стр.4*10 000)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205,53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223,49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226,07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226,97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227,89</w:t>
            </w:r>
          </w:p>
        </w:tc>
      </w:tr>
    </w:tbl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2. Доля среднесписочной численности работников (без внешних совместителей) малых и сре</w:t>
      </w:r>
      <w:r w:rsidRPr="00B969D7">
        <w:rPr>
          <w:rFonts w:ascii="Times New Roman" w:hAnsi="Times New Roman" w:cs="Times New Roman"/>
          <w:sz w:val="28"/>
          <w:szCs w:val="28"/>
        </w:rPr>
        <w:t>дних предприятий в среднесписочной численности работников (без внешних совместителей) всех предприятий и организаций в 2024 году составила 30,59%.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На 2025-2027 год запланировано увеличение среднесписочной численности у субъектов малого и среднего предприни</w:t>
      </w:r>
      <w:r w:rsidRPr="00B969D7">
        <w:rPr>
          <w:rFonts w:ascii="Times New Roman" w:hAnsi="Times New Roman" w:cs="Times New Roman"/>
          <w:sz w:val="28"/>
          <w:szCs w:val="28"/>
        </w:rPr>
        <w:t>мательства.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Реализация программных мероприятий муниципальной программы Минусинского района «Развитие малого и среднего предпринимательства и инвестиционной деятельности», утвержденная постановлением администрации Минусинского района от 25.10.2013 №857-п по</w:t>
      </w:r>
      <w:r w:rsidRPr="00B969D7">
        <w:rPr>
          <w:rFonts w:ascii="Times New Roman" w:hAnsi="Times New Roman" w:cs="Times New Roman"/>
          <w:sz w:val="28"/>
          <w:szCs w:val="28"/>
        </w:rPr>
        <w:t>зволит привлечь субъектов малого и среднего предпринимательства и самозанятых граждан к формированию муниципальной политики развития бизнеса на территории района, повысить юридическую и экономическую грамотность, уровень эффективности предпринимательской д</w:t>
      </w:r>
      <w:r w:rsidRPr="00B969D7">
        <w:rPr>
          <w:rFonts w:ascii="Times New Roman" w:hAnsi="Times New Roman" w:cs="Times New Roman"/>
          <w:sz w:val="28"/>
          <w:szCs w:val="28"/>
        </w:rPr>
        <w:t>еятельности, расширить рынки сбыта продукции, выпускаемой субъектами малого и среднего предпринимательства, привлечение молодых специалистов.</w:t>
      </w:r>
    </w:p>
    <w:p w:rsidR="00000000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969D7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5"/>
        <w:gridCol w:w="905"/>
        <w:gridCol w:w="905"/>
        <w:gridCol w:w="936"/>
        <w:gridCol w:w="1027"/>
        <w:gridCol w:w="1027"/>
      </w:tblGrid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2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показателя и единицы измерения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Значения показателя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2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2023 факт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2024 факт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2025 оценка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2026 прогноз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2027 прогноз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6. Среднесписочная численность работников малых и микропредприятий, чел.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521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5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7. Среднесписочная численность работников у индивидуальных предпринимателей (наемных работников), чел.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7.1. в том числе в крест</w:t>
            </w: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ьянско-фермерских хозяйствах, чел.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8. Среднесписочная численность работников средних предприятий, чел.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912"/>
        </w:trPr>
        <w:tc>
          <w:tcPr>
            <w:tcW w:w="5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9. Среднесписочная численность работников (без внешних совместителей) крупных и средних предприятий, и некоммерческих организа</w:t>
            </w: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 xml:space="preserve">ций (без субъектов малого предпринимательства), чел.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3 725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3 936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3 940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3 944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sz w:val="24"/>
                <w:szCs w:val="24"/>
              </w:rPr>
              <w:t>3 948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52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</w:t>
            </w: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всех предприятий и организаций, % ((стр.3+стр.6+стр.7+стр.8 / (стр.3+стр.6+стр.7+стр.9)*100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30,16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30,69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30,73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30,79</w:t>
            </w:r>
          </w:p>
        </w:tc>
      </w:tr>
    </w:tbl>
    <w:p w:rsidR="00000000" w:rsidRPr="00B969D7" w:rsidRDefault="00B969D7" w:rsidP="00B969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3. Объем инвестиций в основной капитал (за исключением бюджетных средств) в расчете на 1 человека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Объем инвестиций в основной к</w:t>
      </w:r>
      <w:r w:rsidRPr="00B969D7">
        <w:rPr>
          <w:rFonts w:ascii="Times New Roman" w:hAnsi="Times New Roman" w:cs="Times New Roman"/>
          <w:sz w:val="28"/>
          <w:szCs w:val="28"/>
        </w:rPr>
        <w:t xml:space="preserve">апитал за счет всех источников финансирования (без субъектов малого предпринимательства) в 2024 году составил 1 367 950,00 тыс. руб., что на </w:t>
      </w:r>
      <w:r w:rsidRPr="00B969D7">
        <w:rPr>
          <w:rFonts w:ascii="Times New Roman" w:hAnsi="Times New Roman" w:cs="Times New Roman"/>
          <w:sz w:val="28"/>
          <w:szCs w:val="28"/>
        </w:rPr>
        <w:t>110 588,0 тыс. руб</w:t>
      </w:r>
      <w:r w:rsidRPr="00B969D7">
        <w:rPr>
          <w:rFonts w:ascii="Times New Roman" w:hAnsi="Times New Roman" w:cs="Times New Roman"/>
          <w:sz w:val="28"/>
          <w:szCs w:val="28"/>
        </w:rPr>
        <w:t>.</w:t>
      </w:r>
      <w:r w:rsidRPr="00B969D7">
        <w:rPr>
          <w:rFonts w:ascii="Times New Roman" w:hAnsi="Times New Roman" w:cs="Times New Roman"/>
          <w:sz w:val="28"/>
          <w:szCs w:val="28"/>
        </w:rPr>
        <w:t xml:space="preserve"> больше 2023 года.</w:t>
      </w:r>
    </w:p>
    <w:p w:rsidR="00000000" w:rsidRPr="00B969D7" w:rsidRDefault="00B969D7" w:rsidP="00B969D7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</w:rPr>
      </w:pPr>
      <w:r w:rsidRPr="00B969D7">
        <w:rPr>
          <w:rFonts w:ascii="Times New Roman" w:hAnsi="Times New Roman" w:cs="Times New Roman"/>
          <w:sz w:val="28"/>
          <w:szCs w:val="28"/>
        </w:rPr>
        <w:t>Показатель «Объем инвестиций в основной капитал (за исключением бюджетных сре</w:t>
      </w:r>
      <w:r w:rsidRPr="00B969D7">
        <w:rPr>
          <w:rFonts w:ascii="Times New Roman" w:hAnsi="Times New Roman" w:cs="Times New Roman"/>
          <w:sz w:val="28"/>
          <w:szCs w:val="28"/>
        </w:rPr>
        <w:t xml:space="preserve">дств) в расчете на 1 жителя» составил </w:t>
      </w:r>
      <w:r w:rsidRPr="00B969D7">
        <w:rPr>
          <w:rFonts w:ascii="Times New Roman" w:hAnsi="Times New Roman" w:cs="Times New Roman"/>
          <w:sz w:val="28"/>
          <w:szCs w:val="28"/>
        </w:rPr>
        <w:t>50 724,66</w:t>
      </w:r>
      <w:r w:rsidRPr="00B969D7">
        <w:rPr>
          <w:rFonts w:ascii="Times New Roman" w:hAnsi="Times New Roman" w:cs="Times New Roman"/>
          <w:sz w:val="28"/>
          <w:szCs w:val="28"/>
        </w:rPr>
        <w:t xml:space="preserve"> руб., что на </w:t>
      </w:r>
      <w:r w:rsidRPr="00B969D7">
        <w:rPr>
          <w:rFonts w:ascii="Times New Roman" w:hAnsi="Times New Roman" w:cs="Times New Roman"/>
          <w:sz w:val="28"/>
          <w:szCs w:val="28"/>
        </w:rPr>
        <w:t>16 088,51</w:t>
      </w:r>
      <w:r w:rsidRPr="00B969D7">
        <w:rPr>
          <w:rFonts w:ascii="Times New Roman" w:hAnsi="Times New Roman" w:cs="Times New Roman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 xml:space="preserve">руб. больше значения 2023 года. Показатель увеличился за счет объема инвестиций без учета бюджетных средств на </w:t>
      </w:r>
      <w:r w:rsidRPr="00B969D7">
        <w:rPr>
          <w:rFonts w:ascii="Times New Roman" w:hAnsi="Times New Roman" w:cs="Times New Roman"/>
          <w:sz w:val="28"/>
          <w:szCs w:val="28"/>
        </w:rPr>
        <w:t>382 660,00</w:t>
      </w:r>
      <w:r w:rsidRPr="00B969D7">
        <w:rPr>
          <w:rFonts w:ascii="Times New Roman" w:hAnsi="Times New Roman" w:cs="Times New Roman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B969D7">
        <w:rPr>
          <w:rFonts w:ascii="Times New Roman" w:hAnsi="Times New Roman" w:cs="Times New Roman"/>
          <w:sz w:val="28"/>
          <w:szCs w:val="28"/>
        </w:rPr>
        <w:t>Объем инвестиций за счет бюджетных средств в 2024 год</w:t>
      </w:r>
      <w:r w:rsidRPr="00B969D7">
        <w:rPr>
          <w:rFonts w:ascii="Times New Roman" w:hAnsi="Times New Roman" w:cs="Times New Roman"/>
          <w:sz w:val="28"/>
          <w:szCs w:val="28"/>
        </w:rPr>
        <w:t>у составил 154 819,00 тыс. руб. В 2025 году данный показатель по оценке составит 687 862,60 тыс. руб.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По видам экономической деятельности инвестиции распределены следующим образом: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Инвестиции в основной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 капитал по видам деятельности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613400" cy="34112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4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Основная доля инвестиций в 2024 году пришлась на раздел A: «</w:t>
      </w:r>
      <w:r w:rsidRPr="00B969D7">
        <w:rPr>
          <w:rFonts w:ascii="Times New Roman" w:hAnsi="Times New Roman" w:cs="Times New Roman"/>
          <w:sz w:val="28"/>
          <w:szCs w:val="28"/>
        </w:rPr>
        <w:t>Сельское, лесное хозяйство, охота, рыболовство и рыбоводство</w:t>
      </w:r>
      <w:r w:rsidRPr="00B969D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Прогноз общего объема инвестиций по МО составлен исходя из сложившейся структуры.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На прогнози</w:t>
      </w:r>
      <w:r w:rsidRPr="00B969D7">
        <w:rPr>
          <w:rFonts w:ascii="Times New Roman" w:hAnsi="Times New Roman" w:cs="Times New Roman"/>
          <w:sz w:val="28"/>
          <w:szCs w:val="28"/>
        </w:rPr>
        <w:t>руемый период заявлены такие инвестиционные проекты как: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1. МКПР «ОткройТесь». </w:t>
      </w:r>
      <w:r w:rsidRPr="00B969D7">
        <w:rPr>
          <w:rFonts w:ascii="Times New Roman" w:hAnsi="Times New Roman" w:cs="Times New Roman"/>
          <w:sz w:val="28"/>
          <w:szCs w:val="28"/>
        </w:rPr>
        <w:t>С</w:t>
      </w:r>
      <w:r w:rsidRPr="00B969D7">
        <w:rPr>
          <w:rFonts w:ascii="Times New Roman" w:hAnsi="Times New Roman" w:cs="Times New Roman"/>
          <w:sz w:val="28"/>
          <w:szCs w:val="28"/>
        </w:rPr>
        <w:t>рок реализации проекта 2026-2027 годы, общий объем финансирования по проекту –</w:t>
      </w:r>
      <w:r w:rsidRPr="00B969D7">
        <w:rPr>
          <w:rFonts w:ascii="Times New Roman" w:hAnsi="Times New Roman" w:cs="Times New Roman"/>
          <w:sz w:val="28"/>
          <w:szCs w:val="28"/>
        </w:rPr>
        <w:t>644 000,00</w:t>
      </w:r>
      <w:r w:rsidRPr="00B969D7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2. «Создание крупяного производства» (с.Тесь, инвестор ООО «Тесинская мук</w:t>
      </w:r>
      <w:r w:rsidRPr="00B969D7">
        <w:rPr>
          <w:rFonts w:ascii="Times New Roman" w:hAnsi="Times New Roman" w:cs="Times New Roman"/>
          <w:sz w:val="28"/>
          <w:szCs w:val="28"/>
        </w:rPr>
        <w:t>а», срок реализации проекта 2014-2025 годы, объем внебюджетных инвестиций по проекту –150 млн рублей).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3. Проект по модернизации производства: переработка рапса и фильтрация рапсового масла. </w:t>
      </w:r>
      <w:r w:rsidRPr="00B969D7">
        <w:rPr>
          <w:rFonts w:ascii="Times New Roman" w:hAnsi="Times New Roman" w:cs="Times New Roman"/>
          <w:sz w:val="28"/>
          <w:szCs w:val="28"/>
        </w:rPr>
        <w:t>Срок реализации проекта 2021-2025 годы, объем внебюджетных инвест</w:t>
      </w:r>
      <w:r w:rsidRPr="00B969D7">
        <w:rPr>
          <w:rFonts w:ascii="Times New Roman" w:hAnsi="Times New Roman" w:cs="Times New Roman"/>
          <w:sz w:val="28"/>
          <w:szCs w:val="28"/>
        </w:rPr>
        <w:t>иций по проекту –113,3 млн рублей).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рамках Закона Красноярского края от 5 декабря 2024 №8-3382 «О Краевом бюджете на 2025 год и плановый 2026-2027 годы» запланированы следующие мероприятия: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1. «Строительство объекта обработки, утилизации, обезвреживания,</w:t>
      </w:r>
      <w:r w:rsidRPr="00B969D7">
        <w:rPr>
          <w:rFonts w:ascii="Times New Roman" w:hAnsi="Times New Roman" w:cs="Times New Roman"/>
          <w:sz w:val="28"/>
          <w:szCs w:val="28"/>
        </w:rPr>
        <w:t xml:space="preserve"> захоронения твердых коммунальных отходов «Минусинский экотехнопарк» с объемами финансирования: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2026 – 115,0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2. «Строительство Минусинский кадетский корпус на 475 учащихся с интернатом на 350 мест в Минусинском районе»</w:t>
      </w:r>
      <w:r w:rsidRPr="00B969D7">
        <w:rPr>
          <w:rFonts w:ascii="Times New Roman" w:hAnsi="Times New Roman" w:cs="Times New Roman"/>
          <w:sz w:val="24"/>
          <w:szCs w:val="24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с объемами финансировани</w:t>
      </w:r>
      <w:r w:rsidRPr="00B969D7">
        <w:rPr>
          <w:rFonts w:ascii="Times New Roman" w:hAnsi="Times New Roman" w:cs="Times New Roman"/>
          <w:sz w:val="28"/>
          <w:szCs w:val="28"/>
        </w:rPr>
        <w:t>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2025 – 35,0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>3. «Строительство школы на 275 учащихся в д. Быстрая Минусинского района» с объемами финансирования: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2025 – 452,0 млн. рублей;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sz w:val="28"/>
          <w:szCs w:val="28"/>
        </w:rPr>
        <w:t>2026 – 129 445,1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4.  «Строительство Досугового центра на 100 мест в д. Солдатово» Минуси</w:t>
      </w:r>
      <w:r w:rsidRPr="00B969D7">
        <w:rPr>
          <w:rFonts w:ascii="Times New Roman" w:hAnsi="Times New Roman" w:cs="Times New Roman"/>
          <w:sz w:val="28"/>
          <w:szCs w:val="28"/>
        </w:rPr>
        <w:t>нского района с объемами финансирования: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2025 – 5,145 млн. рублей;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2026 – 75,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5. «Строительство очистных сооружений в с. Городок» с объемами финансирования: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2025 – 33,8 млн. рублей;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2026 – 66,3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6. «Строительство врачебной амбулато</w:t>
      </w:r>
      <w:r w:rsidRPr="00B969D7">
        <w:rPr>
          <w:rFonts w:ascii="Times New Roman" w:hAnsi="Times New Roman" w:cs="Times New Roman"/>
          <w:sz w:val="28"/>
          <w:szCs w:val="28"/>
        </w:rPr>
        <w:t>рии в с. Большая Иня Минусинского района (КГБУЗ «Минусинская МБ»)» с объемами финансирования: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2025 –80,9588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6. «Строительство врачебной амбулатории в с. Тигрицкое Минусинского района (КГБУЗ «Минусинская МБ»)» с объемами финансирования: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2025 –8</w:t>
      </w:r>
      <w:r w:rsidRPr="00B969D7">
        <w:rPr>
          <w:rFonts w:ascii="Times New Roman" w:hAnsi="Times New Roman" w:cs="Times New Roman"/>
          <w:sz w:val="28"/>
          <w:szCs w:val="28"/>
        </w:rPr>
        <w:t>0,9588 млн.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2709"/>
        <w:gridCol w:w="1134"/>
        <w:gridCol w:w="1134"/>
        <w:gridCol w:w="992"/>
        <w:gridCol w:w="1134"/>
        <w:gridCol w:w="1276"/>
        <w:gridCol w:w="1275"/>
      </w:tblGrid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 и единицы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Значения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2022 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2023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2024 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2025 прогноз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2026 прогноз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27 прогноз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1. Объем инвестиций в основной капитал за счет всех источников финансирования (без субъектов малог</w:t>
            </w: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о предпринимательства),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1 809136,0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1257362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1367950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1 403 516,70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1 445 622,20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1 493 327,73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1.1. Темп роста в действующих ценах, к соответствующему периоду предыдущего года,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121,71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69,50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1.2. Индекс-дефлятор, 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117,40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104,5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1.3. Темп роста в сопоставимых ценах, к соответствующему периоду предыдущего года,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61</w:t>
            </w: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</w:t>
            </w: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98,85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108 502,0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426 891,00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154 819,00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687 862,60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385 745,10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168 613,39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1 700 634,0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830 471,0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1 213 131,0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715 654,1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1 059 877,1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1 324 714,34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Среднегодовая </w:t>
            </w: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численность населения муниципального, городского округа (муници</w:t>
            </w: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пального района),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24 584,00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23 977,00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23 916,00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23 868,00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23 817,00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sz w:val="16"/>
                <w:szCs w:val="16"/>
              </w:rPr>
              <w:t>23766,00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 Объем инвестиций в основной капитал (за исключением бюджетных средств) в расчете на 1 человека населения, руб. (стр. 3*1000/стр. 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69 176,46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34 636,15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50 724,66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29 983,83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44 500,86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55 739,89</w:t>
            </w:r>
          </w:p>
        </w:tc>
      </w:tr>
    </w:tbl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4. Доля площади земельных участков, являющихся объектами налогообложения земельным налогом, в общей площади территории муниципального, городского округов (муниципального района)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Доля площади земельных участков, являющихс</w:t>
      </w:r>
      <w:r w:rsidRPr="00B969D7">
        <w:rPr>
          <w:rFonts w:ascii="Times New Roman" w:hAnsi="Times New Roman" w:cs="Times New Roman"/>
          <w:sz w:val="28"/>
          <w:szCs w:val="28"/>
        </w:rPr>
        <w:t>я объектами налогообложения земельным налогом, в общей площади территории Минусинского района в 2024 году составила 41,6%. Всего общая площадь муниципального района составляет 318 529 га, в том числе площадь земельных участков, являющихся объектами налогоо</w:t>
      </w:r>
      <w:r w:rsidRPr="00B969D7">
        <w:rPr>
          <w:rFonts w:ascii="Times New Roman" w:hAnsi="Times New Roman" w:cs="Times New Roman"/>
          <w:sz w:val="28"/>
          <w:szCs w:val="28"/>
        </w:rPr>
        <w:t>бложения земельным налогом 132 508,07 га.</w:t>
      </w:r>
    </w:p>
    <w:p w:rsidR="00000000" w:rsidRPr="00B969D7" w:rsidRDefault="00B969D7" w:rsidP="00B969D7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2025 году и плановом периоде 2026-2027 годах ожидается увеличением доли площади земельных участков,  являющихся объектами налогообложения земельным налогом в общей площади территории района на 0,1% в связи с офор</w:t>
      </w:r>
      <w:r w:rsidRPr="00B969D7">
        <w:rPr>
          <w:rFonts w:ascii="Times New Roman" w:hAnsi="Times New Roman" w:cs="Times New Roman"/>
          <w:sz w:val="28"/>
          <w:szCs w:val="28"/>
        </w:rPr>
        <w:t>млением земельных участков в собственность физическими и юридическими лицами, а также индивидуальными предпринимателями.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5. Доля прибыльных сельскохозяйственных организаций в общем их числе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5. Доля прибыльных сельскохозяйственных организаций в общем их 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числе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Pr="00B969D7">
        <w:rPr>
          <w:rFonts w:ascii="Times New Roman" w:hAnsi="Times New Roman" w:cs="Times New Roman"/>
          <w:sz w:val="28"/>
          <w:szCs w:val="28"/>
        </w:rPr>
        <w:t xml:space="preserve">доля прибыльных сельскохозяйственных организаций в общем их числе составила 75,00 %, в связи с тем, что из 12 сельскохозяйственных предприятий 9 были прибыльными, 3 убыточными.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Причины получения убытков в 2024 году: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  <w:u w:val="single"/>
        </w:rPr>
        <w:t>ООО «Ничкинское»:</w:t>
      </w:r>
      <w:r w:rsidRPr="00B969D7">
        <w:rPr>
          <w:rFonts w:ascii="Times New Roman" w:hAnsi="Times New Roman" w:cs="Times New Roman"/>
          <w:sz w:val="28"/>
          <w:szCs w:val="28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п</w:t>
      </w:r>
      <w:r w:rsidRPr="00B969D7">
        <w:rPr>
          <w:rFonts w:ascii="Times New Roman" w:hAnsi="Times New Roman" w:cs="Times New Roman"/>
          <w:sz w:val="28"/>
          <w:szCs w:val="28"/>
        </w:rPr>
        <w:t>ри неправильной обработке посевов  пострадало около 1000 га технических культур, в связи с чем произошло снижение объема фактического сбора урожая рапса и сои, что повлияло на  увеличение затрат на производство, также снижение объема господдержки в 2024 го</w:t>
      </w:r>
      <w:r w:rsidRPr="00B969D7">
        <w:rPr>
          <w:rFonts w:ascii="Times New Roman" w:hAnsi="Times New Roman" w:cs="Times New Roman"/>
          <w:sz w:val="28"/>
          <w:szCs w:val="28"/>
        </w:rPr>
        <w:t>ду повлияло на финансово-экономический результат предприятия.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  <w:u w:val="single"/>
        </w:rPr>
        <w:t>СПК «Спектр</w:t>
      </w:r>
      <w:r w:rsidRPr="00B969D7">
        <w:rPr>
          <w:rFonts w:ascii="Times New Roman" w:hAnsi="Times New Roman" w:cs="Times New Roman"/>
          <w:sz w:val="28"/>
          <w:szCs w:val="28"/>
        </w:rPr>
        <w:t>»:</w:t>
      </w:r>
      <w:r w:rsidRPr="00B969D7">
        <w:rPr>
          <w:rFonts w:ascii="Times New Roman" w:hAnsi="Times New Roman" w:cs="Times New Roman"/>
          <w:sz w:val="28"/>
          <w:szCs w:val="28"/>
        </w:rPr>
        <w:t xml:space="preserve"> по причине сложившихся неблагоприятных погодных условий  (затяжные дожди в сентябре 2024) произошло полегание посевов, зафиксировано прорастание зерна в колосе, что сказалось на зн</w:t>
      </w:r>
      <w:r w:rsidRPr="00B969D7">
        <w:rPr>
          <w:rFonts w:ascii="Times New Roman" w:hAnsi="Times New Roman" w:cs="Times New Roman"/>
          <w:sz w:val="28"/>
          <w:szCs w:val="28"/>
        </w:rPr>
        <w:t>ачительном  снижение объема фактического сбора урожая, качестве выращиваемых культур и отрицательном финансовом результате.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  <w:u w:val="single"/>
        </w:rPr>
        <w:t xml:space="preserve">ООО «Фавор»: </w:t>
      </w:r>
      <w:r w:rsidRPr="00B969D7">
        <w:rPr>
          <w:rFonts w:ascii="Times New Roman" w:hAnsi="Times New Roman" w:cs="Times New Roman"/>
          <w:sz w:val="28"/>
          <w:szCs w:val="28"/>
        </w:rPr>
        <w:t>в 2024 году предприятие не осуществляло деятельность по производству сельхозпродукции. Реализация в 2024 году продукции</w:t>
      </w:r>
      <w:r w:rsidRPr="00B969D7">
        <w:rPr>
          <w:rFonts w:ascii="Times New Roman" w:hAnsi="Times New Roman" w:cs="Times New Roman"/>
          <w:sz w:val="28"/>
          <w:szCs w:val="28"/>
        </w:rPr>
        <w:t xml:space="preserve"> урожая 2023 года была по цене ниже, чем планировалось изначально, произошло превышение расходов над доходами организации.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 xml:space="preserve">По оценке 2025 года доля прибыльных хозяйств составит 83,33 % (12 предприятий, из них 10 прибыльных, 2 убыточных).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2026 доля при</w:t>
      </w:r>
      <w:r w:rsidRPr="00B969D7">
        <w:rPr>
          <w:rFonts w:ascii="Times New Roman" w:hAnsi="Times New Roman" w:cs="Times New Roman"/>
          <w:sz w:val="28"/>
          <w:szCs w:val="28"/>
        </w:rPr>
        <w:t>быльных предприятий составит 91,67 % (12 предприятий, из них 11 прибыльных, 1 убыточное).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В 2027 году доля прибыльных составит 100 % (12 предприятий, из них 12 прибыльных).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6. Доля протяженности автомобильных дорог общего пользования местного значения, 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не отвечающих нормативным требованиям, в общей протяженности автомобильных дорог общего пользования местного значения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Протяженность автомобильных дорог общего пользования местного значения в 2024 г. составила 357,8 км.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sz w:val="28"/>
          <w:szCs w:val="28"/>
        </w:rPr>
        <w:t>За 2024 год протяженность увеличила</w:t>
      </w:r>
      <w:r w:rsidRPr="00B969D7">
        <w:rPr>
          <w:rFonts w:ascii="Times New Roman" w:hAnsi="Times New Roman" w:cs="Times New Roman"/>
          <w:sz w:val="28"/>
          <w:szCs w:val="28"/>
        </w:rPr>
        <w:t>сь на 9,2 км и составила 357,8 км. Изменение связано с переучетом дорог местного значения.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sz w:val="28"/>
          <w:szCs w:val="28"/>
        </w:rPr>
        <w:t>Протяженность автомобильных дорог общего пользования местного значения, не отвечающих нормативным требованиям за 2024 год составила 29,1 км. Доля протяженности автом</w:t>
      </w:r>
      <w:r w:rsidRPr="00B969D7">
        <w:rPr>
          <w:rFonts w:ascii="Times New Roman" w:hAnsi="Times New Roman" w:cs="Times New Roman"/>
          <w:sz w:val="28"/>
          <w:szCs w:val="28"/>
        </w:rPr>
        <w:t>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2023 г. – 8,35 %, за 2024 г. показатель составил 8,13 %. Уменьшение показателя связ</w:t>
      </w:r>
      <w:r w:rsidRPr="00B969D7">
        <w:rPr>
          <w:rFonts w:ascii="Times New Roman" w:hAnsi="Times New Roman" w:cs="Times New Roman"/>
          <w:sz w:val="28"/>
          <w:szCs w:val="28"/>
        </w:rPr>
        <w:t>ано с увеличением общей протяженности дорог местного значения.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округов (муни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ципального района) в общей численности населения муниципального, городского округов (муниципального района)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Доля населения, проживающего в населенных пунктах, не имеющих регулярного сообщения составляет 0%. Всего в районе действуют 24 межмуниципальных мар</w:t>
      </w:r>
      <w:r w:rsidRPr="00B969D7">
        <w:rPr>
          <w:rFonts w:ascii="Times New Roman" w:hAnsi="Times New Roman" w:cs="Times New Roman"/>
          <w:sz w:val="28"/>
          <w:szCs w:val="28"/>
        </w:rPr>
        <w:t xml:space="preserve">шрута регулярных перевозок автомобильным транспортом.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8. Среднемесячная номинальная начисленная заработная плата работников: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8.1. крупных и средних предприятий и некоммерческих организаций;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 xml:space="preserve">По данным Федеральной службы государственной статистики по </w:t>
      </w:r>
      <w:r w:rsidRPr="00B969D7">
        <w:rPr>
          <w:rFonts w:ascii="Times New Roman" w:hAnsi="Times New Roman" w:cs="Times New Roman"/>
          <w:sz w:val="28"/>
          <w:szCs w:val="28"/>
        </w:rPr>
        <w:t>Красноярскому краю среднемесячная номинальная начисленная заработная плата работников за 2024 год по крупным и средним предприятиям и организациям составила 56414,6 рублей. По отношению к соответствующему периоду 2023 года заработная плата увеличилась на 2</w:t>
      </w:r>
      <w:r w:rsidRPr="00B969D7">
        <w:rPr>
          <w:rFonts w:ascii="Times New Roman" w:hAnsi="Times New Roman" w:cs="Times New Roman"/>
          <w:sz w:val="28"/>
          <w:szCs w:val="28"/>
        </w:rPr>
        <w:t xml:space="preserve">0%. Увеличение произошло за счет повышения оплаты труда  работников бюджетной сферы (выполнение Указов Президента РФ и поручений Губернатора по отдельным категориям работников) и повышения МРОТ с 01.01.2024 года (Федеральный закон от 27 ноября 2023 г. </w:t>
      </w:r>
      <w:r w:rsidRPr="00B969D7">
        <w:rPr>
          <w:rFonts w:ascii="Times New Roman" w:hAnsi="Times New Roman" w:cs="Times New Roman"/>
          <w:sz w:val="28"/>
          <w:szCs w:val="28"/>
        </w:rPr>
        <w:t>№ 54</w:t>
      </w:r>
      <w:r w:rsidRPr="00B969D7">
        <w:rPr>
          <w:rFonts w:ascii="Times New Roman" w:hAnsi="Times New Roman" w:cs="Times New Roman"/>
          <w:sz w:val="28"/>
          <w:szCs w:val="28"/>
        </w:rPr>
        <w:t>8-</w:t>
      </w:r>
      <w:r w:rsidRPr="00B969D7">
        <w:rPr>
          <w:rFonts w:ascii="Times New Roman" w:hAnsi="Times New Roman" w:cs="Times New Roman"/>
          <w:sz w:val="28"/>
          <w:szCs w:val="28"/>
        </w:rPr>
        <w:t xml:space="preserve">ФЗ).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По оценке 2025 года увеличение среднемесячной номинальной заработной платы ожидается на 15% и составит 64876,8 рублей. В планируемом 2026 году ожидаемый  темп роста 10,9 % и размер заработной платы составит </w:t>
      </w:r>
      <w:r w:rsidRPr="00B969D7">
        <w:rPr>
          <w:rFonts w:ascii="Times New Roman" w:hAnsi="Times New Roman" w:cs="Times New Roman"/>
          <w:b/>
          <w:bCs/>
          <w:sz w:val="24"/>
          <w:szCs w:val="24"/>
        </w:rPr>
        <w:t>71 948,4</w:t>
      </w:r>
      <w:r w:rsidRPr="00B969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рублей. В 2027 году прогнозируем</w:t>
      </w:r>
      <w:r w:rsidRPr="00B969D7">
        <w:rPr>
          <w:rFonts w:ascii="Times New Roman" w:hAnsi="Times New Roman" w:cs="Times New Roman"/>
          <w:sz w:val="28"/>
          <w:szCs w:val="28"/>
        </w:rPr>
        <w:t xml:space="preserve">ый темп роста 8,8% и уровень заработной платы достигнет </w:t>
      </w:r>
      <w:r w:rsidRPr="00B969D7">
        <w:rPr>
          <w:rFonts w:ascii="Times New Roman" w:hAnsi="Times New Roman" w:cs="Times New Roman"/>
          <w:b/>
          <w:bCs/>
          <w:sz w:val="24"/>
          <w:szCs w:val="24"/>
        </w:rPr>
        <w:t>78 279,9</w:t>
      </w:r>
      <w:r w:rsidRPr="00B969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рублей.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8.2. муниципальных дошкольных образовательных учреждений;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муниципальных дошкольных общеобразовательных учреждениях среднемесячная заработная плата работников в 2024 году составил</w:t>
      </w:r>
      <w:r w:rsidRPr="00B969D7">
        <w:rPr>
          <w:rFonts w:ascii="Times New Roman" w:hAnsi="Times New Roman" w:cs="Times New Roman"/>
          <w:sz w:val="28"/>
          <w:szCs w:val="28"/>
        </w:rPr>
        <w:t xml:space="preserve">а 43873,8 </w:t>
      </w:r>
      <w:r w:rsidRPr="00B969D7">
        <w:rPr>
          <w:rFonts w:ascii="Times New Roman" w:hAnsi="Times New Roman" w:cs="Times New Roman"/>
          <w:sz w:val="28"/>
          <w:szCs w:val="28"/>
        </w:rPr>
        <w:t>рублей</w:t>
      </w:r>
      <w:r w:rsidRPr="00B969D7">
        <w:rPr>
          <w:rFonts w:ascii="Times New Roman" w:hAnsi="Times New Roman" w:cs="Times New Roman"/>
          <w:sz w:val="28"/>
          <w:szCs w:val="28"/>
        </w:rPr>
        <w:t xml:space="preserve">, что на 6 266, 3 рублей больше прошлого года.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8.3. муниципальных общеобразовательных учреждений;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В муниципальных общеобразовательных учреждениях среднемесячная заработная плата педагогических работников в 2024 году составила </w:t>
      </w:r>
      <w:r w:rsidRPr="00B969D7">
        <w:rPr>
          <w:rFonts w:ascii="Times New Roman" w:hAnsi="Times New Roman" w:cs="Times New Roman"/>
          <w:sz w:val="28"/>
          <w:szCs w:val="28"/>
        </w:rPr>
        <w:t>62 750,10</w:t>
      </w:r>
      <w:r w:rsidRPr="00B969D7">
        <w:rPr>
          <w:rFonts w:ascii="Times New Roman" w:hAnsi="Times New Roman" w:cs="Times New Roman"/>
          <w:sz w:val="28"/>
          <w:szCs w:val="28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рублей, что на 12 203,30 рублей больше прошлого года.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ab/>
        <w:t xml:space="preserve">Среднемесячная заработная плата учителей муниципальных общеобразовательных учреждений в 2024 году составила 74 303,17 рублей, что на 15 585,76 рублей выше прошлого года.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8.4. муниципальных учрежден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ий культуры и искусства;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работников муниципальных учреждений культуры и искусства по сравнению с 2023 годом увеличилась на  17,58 % и составила 57839,4 рублей.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sz w:val="28"/>
          <w:szCs w:val="28"/>
        </w:rPr>
        <w:t>По оценке 2025 года и прогнозный перио</w:t>
      </w:r>
      <w:r w:rsidRPr="00B969D7">
        <w:rPr>
          <w:rFonts w:ascii="Times New Roman" w:hAnsi="Times New Roman" w:cs="Times New Roman"/>
          <w:sz w:val="28"/>
          <w:szCs w:val="28"/>
        </w:rPr>
        <w:t>д 2026-2027 г. повышение среднемесячной номинальной начисленной заработной платы работников муниципальных учреждений культуры и</w:t>
      </w:r>
      <w:r w:rsidRPr="00B969D7">
        <w:rPr>
          <w:rFonts w:ascii="Times New Roman" w:hAnsi="Times New Roman" w:cs="Times New Roman"/>
          <w:sz w:val="28"/>
          <w:szCs w:val="28"/>
        </w:rPr>
        <w:t xml:space="preserve"> искусства планируется в 2025 на 8,1%,</w:t>
      </w:r>
      <w:r w:rsidRPr="00B969D7">
        <w:rPr>
          <w:rFonts w:ascii="Times New Roman" w:hAnsi="Times New Roman" w:cs="Times New Roman"/>
          <w:sz w:val="28"/>
          <w:szCs w:val="28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lastRenderedPageBreak/>
        <w:t>что составит 62541,5 рубль,</w:t>
      </w:r>
      <w:r w:rsidRPr="00B969D7">
        <w:rPr>
          <w:rFonts w:ascii="Times New Roman" w:hAnsi="Times New Roman" w:cs="Times New Roman"/>
          <w:sz w:val="28"/>
          <w:szCs w:val="28"/>
        </w:rPr>
        <w:t xml:space="preserve"> в 2026 на 10,9%,</w:t>
      </w:r>
      <w:r w:rsidRPr="00B969D7">
        <w:rPr>
          <w:rFonts w:ascii="Times New Roman" w:hAnsi="Times New Roman" w:cs="Times New Roman"/>
          <w:sz w:val="28"/>
          <w:szCs w:val="28"/>
        </w:rPr>
        <w:t xml:space="preserve"> что составит 69358,53 рублей,</w:t>
      </w:r>
      <w:r w:rsidRPr="00B969D7">
        <w:rPr>
          <w:rFonts w:ascii="Times New Roman" w:hAnsi="Times New Roman" w:cs="Times New Roman"/>
          <w:sz w:val="28"/>
          <w:szCs w:val="28"/>
        </w:rPr>
        <w:t xml:space="preserve"> в 2027 на 8,8 %</w:t>
      </w:r>
      <w:r w:rsidRPr="00B969D7">
        <w:rPr>
          <w:rFonts w:ascii="Times New Roman" w:hAnsi="Times New Roman" w:cs="Times New Roman"/>
          <w:sz w:val="28"/>
          <w:szCs w:val="28"/>
        </w:rPr>
        <w:t>,</w:t>
      </w:r>
      <w:r w:rsidRPr="00B969D7">
        <w:rPr>
          <w:rFonts w:ascii="Times New Roman" w:hAnsi="Times New Roman" w:cs="Times New Roman"/>
          <w:sz w:val="28"/>
          <w:szCs w:val="28"/>
        </w:rPr>
        <w:t xml:space="preserve"> что составит 75462,09 рублей.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8.5. муниципальных учреждений физической культуры и спорта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работников</w:t>
      </w:r>
      <w:r w:rsidRPr="00B969D7">
        <w:rPr>
          <w:rFonts w:ascii="Times New Roman" w:hAnsi="Times New Roman" w:cs="Times New Roman"/>
          <w:sz w:val="17"/>
          <w:szCs w:val="17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 xml:space="preserve">муниципальных учреждений физической культуры и спорта по сравнению с 2023 годом увеличилась на </w:t>
      </w:r>
      <w:r w:rsidRPr="00B969D7">
        <w:rPr>
          <w:rFonts w:ascii="Times New Roman" w:hAnsi="Times New Roman" w:cs="Times New Roman"/>
          <w:sz w:val="28"/>
          <w:szCs w:val="28"/>
        </w:rPr>
        <w:t>2,43 % и составила 42179,00  рублей, в связи с тем что в феврале 2024 года в Минусинском районе ввели в действие «Центр физической культуры и спорта «Енисей» находящийся на разделе подразделе 1101, в штате которого находится 5 единиц младшего обслуживающег</w:t>
      </w:r>
      <w:r w:rsidRPr="00B969D7">
        <w:rPr>
          <w:rFonts w:ascii="Times New Roman" w:hAnsi="Times New Roman" w:cs="Times New Roman"/>
          <w:sz w:val="28"/>
          <w:szCs w:val="28"/>
        </w:rPr>
        <w:t>о персонала получающих минимальный размер оплаты труда в течении года, также в штатном расписании находилось 9 штатных единиц по должности «Инструктор по спорту» у которых до 01.04.2024 года был минимальный размер оплаты труда средняя заработная плата расс</w:t>
      </w:r>
      <w:r w:rsidRPr="00B969D7">
        <w:rPr>
          <w:rFonts w:ascii="Times New Roman" w:hAnsi="Times New Roman" w:cs="Times New Roman"/>
          <w:sz w:val="28"/>
          <w:szCs w:val="28"/>
        </w:rPr>
        <w:t>читывается от двух учреждений,  что повлияло на среднемесячную номинальную начисленную заработную плату работников</w:t>
      </w:r>
      <w:r w:rsidRPr="00B969D7">
        <w:rPr>
          <w:rFonts w:ascii="Times New Roman" w:hAnsi="Times New Roman" w:cs="Times New Roman"/>
          <w:sz w:val="17"/>
          <w:szCs w:val="17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муниципальных учреждений физической культуры и спорта и стала фактически меньше планируемого прогноза на 2024 год.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sz w:val="28"/>
          <w:szCs w:val="28"/>
        </w:rPr>
        <w:tab/>
        <w:t>По оценке 2025 года и про</w:t>
      </w:r>
      <w:r w:rsidRPr="00B969D7">
        <w:rPr>
          <w:rFonts w:ascii="Times New Roman" w:hAnsi="Times New Roman" w:cs="Times New Roman"/>
          <w:sz w:val="28"/>
          <w:szCs w:val="28"/>
        </w:rPr>
        <w:t xml:space="preserve">гнозный период 2026-2027 г. повышение заработной </w:t>
      </w:r>
      <w:r w:rsidRPr="00B969D7">
        <w:rPr>
          <w:rFonts w:ascii="Times New Roman" w:hAnsi="Times New Roman" w:cs="Times New Roman"/>
          <w:sz w:val="28"/>
          <w:szCs w:val="28"/>
        </w:rPr>
        <w:t xml:space="preserve">планируется на  14,58 %, </w:t>
      </w:r>
      <w:r w:rsidRPr="00B969D7">
        <w:rPr>
          <w:rFonts w:ascii="Times New Roman" w:hAnsi="Times New Roman" w:cs="Times New Roman"/>
          <w:sz w:val="28"/>
          <w:szCs w:val="28"/>
        </w:rPr>
        <w:t>что составит 47299,00 рублей.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II. Дошкольное образование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9. Доля детей в возрасте 1-6 лет, получающих дошкольную общеобразовательную услугу и (или) услугу по их содержанию в мун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иципальных общеобразовательных учреждениях в общей численности детей в возрасте 1-6 лет, 10.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Доля детей в возрасте от 1-6 лет, получающих дошкольную образовательную услугу от общего числа детей в возрасте от 1-6 лет составляет 48,8 %. В целом данный показатель стабилен на протяжении последних трех лет.  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Доля детей в возрасте 1- 6 лет, состоящих</w:t>
      </w:r>
      <w:r w:rsidRPr="00B969D7">
        <w:rPr>
          <w:rFonts w:ascii="Times New Roman" w:hAnsi="Times New Roman" w:cs="Times New Roman"/>
          <w:sz w:val="28"/>
          <w:szCs w:val="28"/>
        </w:rPr>
        <w:t xml:space="preserve"> на учете для определения в муниципальные дошкольные учреждения за отчетный период составляет                10,3 %.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В настоящее время в муниципальной системе образования Минусинского района находится 47 образовательных учреждений, реализующие программы </w:t>
      </w:r>
      <w:r w:rsidRPr="00B969D7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B969D7">
        <w:rPr>
          <w:rFonts w:ascii="Times New Roman" w:hAnsi="Times New Roman" w:cs="Times New Roman"/>
          <w:sz w:val="28"/>
          <w:szCs w:val="28"/>
        </w:rPr>
        <w:t xml:space="preserve">ошкольного, общего и дополнительного образования детей, из них 21 школа, 25 детских садов и 1 учреждение дополнительного образования ЦДТ. 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Действующие 25 дошкольных образовательных учреждения (ДОУ) реализующих программу по дошкольному образованию детей вк</w:t>
      </w:r>
      <w:r w:rsidRPr="00B969D7">
        <w:rPr>
          <w:rFonts w:ascii="Times New Roman" w:hAnsi="Times New Roman" w:cs="Times New Roman"/>
          <w:sz w:val="28"/>
          <w:szCs w:val="28"/>
        </w:rPr>
        <w:t xml:space="preserve">лючают в себя: 8 юридических лиц, 11 дошкольных ступеней, и 6 филиалов.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Количество детей в возрасте от 1- 6 лет, получающих дошкольное образование за отчетный период составило 871 человек. От 3-7 лет составило 699 детей. Очередность детей в ДОУ в возрасте</w:t>
      </w:r>
      <w:r w:rsidRPr="00B969D7">
        <w:rPr>
          <w:rFonts w:ascii="Times New Roman" w:hAnsi="Times New Roman" w:cs="Times New Roman"/>
          <w:sz w:val="28"/>
          <w:szCs w:val="28"/>
        </w:rPr>
        <w:t xml:space="preserve"> от 0 до 6 лет составила 189 человек.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На</w:t>
      </w:r>
      <w:r w:rsidRPr="00B969D7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>Минусинского района 2 дошкольных образовательных учреждения, здания которых требуют капитального ремонта – МКДОУ Большеничкинский детский сад и МБДОУ Городокский детский сад, что составляет 25,0% от общего числа дошкольных образовательных учреж</w:t>
      </w:r>
      <w:r w:rsidRPr="00B969D7">
        <w:rPr>
          <w:rFonts w:ascii="Times New Roman" w:hAnsi="Times New Roman" w:cs="Times New Roman"/>
          <w:sz w:val="28"/>
          <w:szCs w:val="28"/>
        </w:rPr>
        <w:t>дений. Оставшиеся здания эксплуатируются в технически исправном состоянии.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III. Общее и дополнительное образование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нности выпускников муниципальных общеобразовательных учреждений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В 2024 году программу среднего общего образования завершили 84 обучающихся.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По итогам государственной итоговой аттестации из 85 выпускников аттестаты получили 84 обучающихся (98,83 %).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1004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>На территории Минусинского района осуществляет общеобразовательную деятельность 21 общ</w:t>
      </w:r>
      <w:r w:rsidRPr="00B969D7">
        <w:rPr>
          <w:rFonts w:ascii="Times New Roman" w:hAnsi="Times New Roman" w:cs="Times New Roman"/>
          <w:sz w:val="28"/>
          <w:szCs w:val="28"/>
        </w:rPr>
        <w:t xml:space="preserve">еобразовательное учреждение, реализующих дошкольное, начальное общее, основное общее, среднее общее образование (из них 19 юридических лиц и 2 филиала), 84,2% учреждений соответствуют современным требованиям.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1004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15. Доля муниципальных общеобразовательных 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Аварийных зданий общеобразовательных учреждений на территории Минусинского района нет, три общеобр</w:t>
      </w:r>
      <w:r w:rsidRPr="00B969D7">
        <w:rPr>
          <w:rFonts w:ascii="Times New Roman" w:hAnsi="Times New Roman" w:cs="Times New Roman"/>
          <w:sz w:val="28"/>
          <w:szCs w:val="28"/>
        </w:rPr>
        <w:t>азовательных учреждения требуют капитального ремонта МБОУ Маломинусинская СОШ № 7 имени Героя Советского Союза Н.И. Михайлова, МБОУ Тесинская СОШ №10 имени Героя Советского Союза П.И. Колмакова и МКОУ Лугавская СОШ № 19, что составляет 15, 8 % в общем коли</w:t>
      </w:r>
      <w:r w:rsidRPr="00B969D7">
        <w:rPr>
          <w:rFonts w:ascii="Times New Roman" w:hAnsi="Times New Roman" w:cs="Times New Roman"/>
          <w:sz w:val="28"/>
          <w:szCs w:val="28"/>
        </w:rPr>
        <w:t xml:space="preserve">честве общеобразовательных учреждений.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16. Доля детей первой и второй групп здоровья в общей численности обучающихся в муниципальных общеобразовательных учреждениях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отчетном году доля детей первой и второй группы здоровья составила 89,41%. Так, коли</w:t>
      </w:r>
      <w:r w:rsidRPr="00B969D7">
        <w:rPr>
          <w:rFonts w:ascii="Times New Roman" w:hAnsi="Times New Roman" w:cs="Times New Roman"/>
          <w:sz w:val="28"/>
          <w:szCs w:val="28"/>
        </w:rPr>
        <w:t xml:space="preserve">чество детей 1-2 групп здоровья </w:t>
      </w:r>
      <w:r w:rsidRPr="00B969D7">
        <w:rPr>
          <w:rFonts w:ascii="Times New Roman" w:hAnsi="Times New Roman" w:cs="Times New Roman"/>
          <w:sz w:val="28"/>
          <w:szCs w:val="28"/>
        </w:rPr>
        <w:t>составило 2648 человек</w:t>
      </w:r>
      <w:r w:rsidRPr="00B969D7">
        <w:rPr>
          <w:rFonts w:ascii="Times New Roman" w:hAnsi="Times New Roman" w:cs="Times New Roman"/>
          <w:sz w:val="28"/>
          <w:szCs w:val="28"/>
        </w:rPr>
        <w:t xml:space="preserve"> к общему числу обучающихся.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17.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ательных учреждениях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На 1 сентября 2024 во вторую смену обучалось 40 детей МБОУ Енисейской СОШ № 3 имени Валерия Сергиенко, что составляло 1,34 % от общей численности обучающихся Минусинского района.</w:t>
      </w:r>
    </w:p>
    <w:p w:rsidR="00000000" w:rsidRPr="00B969D7" w:rsidRDefault="00B969D7" w:rsidP="00B969D7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18. Расходы бюджета муниципального образования на об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щее образование в расчете на 1 обучающегося в муниципальных общеобразовательных учреждениях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на общее образование в расчете на 1 обучающегося в 2024 году составили 89,29 тыс. рублей, что на 17,33 тыс. выше 2023 го</w:t>
      </w:r>
      <w:r w:rsidRPr="00B969D7">
        <w:rPr>
          <w:rFonts w:ascii="Times New Roman" w:hAnsi="Times New Roman" w:cs="Times New Roman"/>
          <w:sz w:val="28"/>
          <w:szCs w:val="28"/>
        </w:rPr>
        <w:t xml:space="preserve">да.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19.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Доля детей в возрасте от 5-18 лет,</w:t>
      </w:r>
      <w:r w:rsidRPr="00B969D7">
        <w:rPr>
          <w:rFonts w:ascii="Times New Roman" w:hAnsi="Times New Roman" w:cs="Times New Roman"/>
          <w:sz w:val="28"/>
          <w:szCs w:val="28"/>
        </w:rPr>
        <w:t xml:space="preserve"> получавших услуги по дополнительному образованию в 2024 году составила 65,26%. Данные получены из сводных данных АИС «Навигатор дополнительного образования детей Красноярского края».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IV. Культура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20. Уровень фактической обеспеченности учреждениями ку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льтуры от нормативной потребности: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20. Уровень фактической обеспеченности учреждениями культуры от нормативной потребности:</w:t>
      </w:r>
    </w:p>
    <w:p w:rsidR="00000000" w:rsidRPr="00B969D7" w:rsidRDefault="00B969D7" w:rsidP="00B969D7">
      <w:pPr>
        <w:shd w:val="clear" w:color="auto" w:fill="FFFFFF"/>
        <w:autoSpaceDE w:val="0"/>
        <w:autoSpaceDN w:val="0"/>
        <w:adjustRightInd w:val="0"/>
        <w:spacing w:after="3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Согласно распоряжению Министерства культуры Российской Федерации от 23.10.2023 № Р-2879 «Об утверждении методических рекомендаций о</w:t>
      </w:r>
      <w:r w:rsidRPr="00B969D7">
        <w:rPr>
          <w:rFonts w:ascii="Times New Roman" w:hAnsi="Times New Roman" w:cs="Times New Roman"/>
          <w:sz w:val="28"/>
          <w:szCs w:val="28"/>
        </w:rPr>
        <w:t>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культуры» установлен уровень фактической обеспече</w:t>
      </w:r>
      <w:r w:rsidRPr="00B969D7">
        <w:rPr>
          <w:rFonts w:ascii="Times New Roman" w:hAnsi="Times New Roman" w:cs="Times New Roman"/>
          <w:sz w:val="28"/>
          <w:szCs w:val="28"/>
        </w:rPr>
        <w:t>нности учреждениями культуры от нормативной потребности: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клубами и учреждениями клубного типа;</w:t>
      </w:r>
    </w:p>
    <w:p w:rsidR="00000000" w:rsidRPr="00B969D7" w:rsidRDefault="00B969D7" w:rsidP="00B969D7">
      <w:pPr>
        <w:shd w:val="clear" w:color="auto" w:fill="FFFFFF"/>
        <w:autoSpaceDE w:val="0"/>
        <w:autoSpaceDN w:val="0"/>
        <w:adjustRightInd w:val="0"/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ab/>
        <w:t>Показатель уровня фактической обеспеченности клубами и учреждениями клубного типа – 75,61%.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библиотеками;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>Показатель уровня фактической обеспеченности учрежден</w:t>
      </w:r>
      <w:r w:rsidRPr="00B969D7">
        <w:rPr>
          <w:rFonts w:ascii="Times New Roman" w:hAnsi="Times New Roman" w:cs="Times New Roman"/>
          <w:sz w:val="28"/>
          <w:szCs w:val="28"/>
        </w:rPr>
        <w:t xml:space="preserve">иями библиотечного типа – 62,5%.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парками культуры и отдыха.</w:t>
      </w:r>
    </w:p>
    <w:p w:rsidR="00000000" w:rsidRPr="00B969D7" w:rsidRDefault="00B969D7" w:rsidP="00B969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Парки культуры и отдыха на территории Минусинского района отсутствуют, т.к. обеспеченность жителей парками для массового отдыха создается при количестве поселения от 30 тыс. чел. на населенный п</w:t>
      </w:r>
      <w:r w:rsidRPr="00B969D7">
        <w:rPr>
          <w:rFonts w:ascii="Times New Roman" w:hAnsi="Times New Roman" w:cs="Times New Roman"/>
          <w:sz w:val="28"/>
          <w:szCs w:val="28"/>
        </w:rPr>
        <w:t>ункт. На территории района таких поселений нет.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ab/>
        <w:t>По состоянию на 31.12.2024 го</w:t>
      </w:r>
      <w:r w:rsidRPr="00B969D7">
        <w:rPr>
          <w:rFonts w:ascii="Times New Roman" w:hAnsi="Times New Roman" w:cs="Times New Roman"/>
          <w:sz w:val="28"/>
          <w:szCs w:val="28"/>
        </w:rPr>
        <w:t>да требуют капитального ремонта:</w:t>
      </w:r>
    </w:p>
    <w:p w:rsidR="00000000" w:rsidRPr="00B969D7" w:rsidRDefault="00B969D7" w:rsidP="00B969D7">
      <w:pPr>
        <w:tabs>
          <w:tab w:val="left" w:pos="3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МБУК «Межпоселенческой централизованной клубной системы «Факел» Минусинского района - 10 структурных подразделений: 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Б-Иня совместно с Большеинской 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Прихолмье,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Тигриц</w:t>
      </w:r>
      <w:r w:rsidRPr="00B969D7">
        <w:rPr>
          <w:rFonts w:ascii="Times New Roman" w:hAnsi="Times New Roman" w:cs="Times New Roman"/>
          <w:sz w:val="28"/>
          <w:szCs w:val="28"/>
        </w:rPr>
        <w:t>кое совместно с Тигрицкой 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Знаменка,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Лугавское совместно с Лугавской 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В-Коя,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Н-Петровка совместно с Николопетрвоской 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СК с. Кавказское</w:t>
      </w:r>
      <w:r w:rsidRPr="00B969D7">
        <w:rPr>
          <w:rFonts w:ascii="Times New Roman" w:hAnsi="Times New Roman" w:cs="Times New Roman"/>
          <w:sz w:val="28"/>
          <w:szCs w:val="28"/>
        </w:rPr>
        <w:t>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СК п. Пригородный,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СК с. Кутужеково.</w:t>
      </w:r>
    </w:p>
    <w:p w:rsidR="00000000" w:rsidRPr="00B969D7" w:rsidRDefault="00B969D7" w:rsidP="00B969D7">
      <w:pPr>
        <w:widowControl w:val="0"/>
        <w:numPr>
          <w:ilvl w:val="12"/>
          <w:numId w:val="0"/>
        </w:numPr>
        <w:tabs>
          <w:tab w:val="left" w:pos="309"/>
          <w:tab w:val="left" w:pos="4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МБУК «Межпоселенческая библиотечная система» - 2 отдельно расположенных филиала.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Кавказская поселенческая библиотека, 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10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Прихолмская поселенческая библиотека.</w:t>
      </w:r>
    </w:p>
    <w:p w:rsidR="00000000" w:rsidRPr="00B969D7" w:rsidRDefault="00B969D7" w:rsidP="00B969D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10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МБУК «Тесинский художественный му</w:t>
      </w:r>
      <w:r w:rsidRPr="00B969D7">
        <w:rPr>
          <w:rFonts w:ascii="Times New Roman" w:hAnsi="Times New Roman" w:cs="Times New Roman"/>
          <w:sz w:val="28"/>
          <w:szCs w:val="28"/>
        </w:rPr>
        <w:t>зей» - требует капитального ремонта или строительство нового здания.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Всего из 34 зданий требует 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ремонта 13 единиц.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Требуется с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троительство учреждений культуры клубного типа и библиотек в 3 населенных пунктах.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Здание сельского клуба с. Восточное находится</w:t>
      </w:r>
      <w:r w:rsidRPr="00B969D7">
        <w:rPr>
          <w:rFonts w:ascii="Times New Roman" w:hAnsi="Times New Roman" w:cs="Times New Roman"/>
          <w:sz w:val="28"/>
          <w:szCs w:val="28"/>
        </w:rPr>
        <w:t xml:space="preserve"> в аварийном состоянии и требуется строительство нового здания.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Требуется строительство сельских клубов, совмещенных с библиотеками в д. Солдатово и п. Топольки. Ремонт здания сельского клуба п. Топольки </w:t>
      </w:r>
      <w:r w:rsidRPr="00B969D7">
        <w:rPr>
          <w:rFonts w:ascii="Times New Roman" w:hAnsi="Times New Roman" w:cs="Times New Roman"/>
          <w:sz w:val="28"/>
          <w:szCs w:val="28"/>
        </w:rPr>
        <w:lastRenderedPageBreak/>
        <w:t>нецелесообразен, т.к. необходимо строительство новог</w:t>
      </w:r>
      <w:r w:rsidRPr="00B969D7">
        <w:rPr>
          <w:rFonts w:ascii="Times New Roman" w:hAnsi="Times New Roman" w:cs="Times New Roman"/>
          <w:sz w:val="28"/>
          <w:szCs w:val="28"/>
        </w:rPr>
        <w:t>о здания большей площадью, в связи с увеличением</w:t>
      </w:r>
      <w:r>
        <w:rPr>
          <w:rFonts w:ascii="Times New Roman" w:hAnsi="Times New Roman" w:cs="Times New Roman"/>
          <w:sz w:val="28"/>
          <w:szCs w:val="28"/>
        </w:rPr>
        <w:t xml:space="preserve"> численности населения посёлка.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клубами и учреждениями клубного типа;</w:t>
      </w:r>
    </w:p>
    <w:p w:rsidR="00000000" w:rsidRPr="00B969D7" w:rsidRDefault="00B969D7" w:rsidP="00B969D7">
      <w:pPr>
        <w:shd w:val="clear" w:color="auto" w:fill="FFFFFF"/>
        <w:autoSpaceDE w:val="0"/>
        <w:autoSpaceDN w:val="0"/>
        <w:adjustRightInd w:val="0"/>
        <w:spacing w:before="1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ab/>
        <w:t>Показатель уровня фактической обеспеченности клубами и учреждениями клубного типа – 75,61%.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иблиотеками;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Показатель уровня фактической обеспеченности учреждениями библиотечного типа – 65,8%.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парками культуры и отдыха.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Парки культуры и отдыха на территории Минусинского района отсутствуют, т.к. обеспеченность жителей парками для массового отд</w:t>
      </w:r>
      <w:r w:rsidRPr="00B969D7">
        <w:rPr>
          <w:rFonts w:ascii="Times New Roman" w:hAnsi="Times New Roman" w:cs="Times New Roman"/>
          <w:sz w:val="28"/>
          <w:szCs w:val="28"/>
        </w:rPr>
        <w:t>ыха создается при количестве поселения от 30 тыс. чел. на населенный пункт. На территории района таких поселений нет.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highlight w:val="yellow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21. Доля муниципальных учреждений культуры, здания которых находятся в аварийном состоянии или требуют капитального ремонта, в общем ко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личестве муниципальных учреждений культуры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По состоянию на 31.12.2024 года требуют капитального ремонта:</w:t>
      </w:r>
    </w:p>
    <w:p w:rsidR="00000000" w:rsidRPr="00B969D7" w:rsidRDefault="00B969D7" w:rsidP="00B969D7">
      <w:pPr>
        <w:tabs>
          <w:tab w:val="left" w:pos="3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МБУК «Межпоселенческой централизованной клубной системы «Факел» Минусинского района - 10 структурных подразделений: 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Б-Иня совместно с Боль</w:t>
      </w:r>
      <w:r w:rsidRPr="00B969D7">
        <w:rPr>
          <w:rFonts w:ascii="Times New Roman" w:hAnsi="Times New Roman" w:cs="Times New Roman"/>
          <w:sz w:val="28"/>
          <w:szCs w:val="28"/>
        </w:rPr>
        <w:t>шеинской 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Прихолмье,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Тигрицкое совместно с Тигрицкой 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Знаменка,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Лугавское совместно с Лугавской 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В-Коя,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СДК с. Н-Петровка сов</w:t>
      </w:r>
      <w:r w:rsidRPr="00B969D7">
        <w:rPr>
          <w:rFonts w:ascii="Times New Roman" w:hAnsi="Times New Roman" w:cs="Times New Roman"/>
          <w:sz w:val="28"/>
          <w:szCs w:val="28"/>
        </w:rPr>
        <w:t>местно с Николопетрвоской поселенческой библиотекой,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СК с. Кавказское,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СК п. Пригородный,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5" w:right="-108" w:hanging="36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СК с. Кутужеково.</w:t>
      </w:r>
    </w:p>
    <w:p w:rsidR="00000000" w:rsidRPr="00B969D7" w:rsidRDefault="00B969D7" w:rsidP="00B969D7">
      <w:pPr>
        <w:widowControl w:val="0"/>
        <w:numPr>
          <w:ilvl w:val="12"/>
          <w:numId w:val="0"/>
        </w:numPr>
        <w:tabs>
          <w:tab w:val="left" w:pos="309"/>
          <w:tab w:val="left" w:pos="4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МБУК «Межпоселенческая библиотечная система» - 2 отдельно расположенных филиала.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Кавказская поселенческая библиотека, 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-10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При</w:t>
      </w:r>
      <w:r w:rsidRPr="00B969D7">
        <w:rPr>
          <w:rFonts w:ascii="Times New Roman" w:hAnsi="Times New Roman" w:cs="Times New Roman"/>
          <w:sz w:val="28"/>
          <w:szCs w:val="28"/>
        </w:rPr>
        <w:t>холмская поселенческая библиотека.</w:t>
      </w:r>
    </w:p>
    <w:p w:rsidR="00000000" w:rsidRPr="00B969D7" w:rsidRDefault="00B969D7" w:rsidP="00B969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-108" w:hanging="284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 МБУК «Тесинский художественный музей» - требует капитального ремонта </w:t>
      </w:r>
      <w:r w:rsidRPr="00B969D7">
        <w:rPr>
          <w:rFonts w:ascii="Times New Roman" w:hAnsi="Times New Roman" w:cs="Times New Roman"/>
          <w:sz w:val="28"/>
          <w:szCs w:val="28"/>
        </w:rPr>
        <w:lastRenderedPageBreak/>
        <w:t>или строительство нового здания.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Всего из 34 зданий требует 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ремонта 13 единиц.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Требуется с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троительство учреждений культуры клубного типа и библиот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ек в 3 населенных пунктах.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Здание сельского клуба с. Восточное находится в аварийном состоянии и требуется строительство нового здания.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Требуется строительство сельских клубов, совмещенных с библиотеками в д. Солдатово и п. Топольки. Ремонт здания сельског</w:t>
      </w:r>
      <w:r w:rsidRPr="00B969D7">
        <w:rPr>
          <w:rFonts w:ascii="Times New Roman" w:hAnsi="Times New Roman" w:cs="Times New Roman"/>
          <w:sz w:val="28"/>
          <w:szCs w:val="28"/>
        </w:rPr>
        <w:t>о клуба п. Топольки нецелесообразен, т.к. необходимо строительство нового здания большей площадью, в связи с увеличением численности населения посёлка.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22. Доля объектов культурного наследия, находящихся в муниципальной собственности и требующих консерв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ации или реставрации, в общем количестве объектов культурного наследия, находящихся в муниципальной собственности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22. Доля объектов культурного наследия, находящихся в муниципальной собственности и требующих консервации или реставрации, в общем количестве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 объектов культурного наследия, находящихся в муниципальной собственности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На территории Минусинского района находится 3 объекта культурного наследия, находящиеся в муниципальной собственности.</w:t>
      </w: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Объект культурного наследия, находящихся в муниципальной собст</w:t>
      </w:r>
      <w:r w:rsidRPr="00B969D7">
        <w:rPr>
          <w:rFonts w:ascii="Times New Roman" w:hAnsi="Times New Roman" w:cs="Times New Roman"/>
          <w:sz w:val="28"/>
          <w:szCs w:val="28"/>
        </w:rPr>
        <w:t>венности, который требует реставрации, в общем количестве объектов культурного наследия, находящихся в муниципальной собственности - здание конторы (дерево)», кон. XIX нач. XX вв., входящий в состав объекта культурного наследия регионального значения «Комп</w:t>
      </w:r>
      <w:r w:rsidRPr="00B969D7">
        <w:rPr>
          <w:rFonts w:ascii="Times New Roman" w:hAnsi="Times New Roman" w:cs="Times New Roman"/>
          <w:sz w:val="28"/>
          <w:szCs w:val="28"/>
        </w:rPr>
        <w:t>лекс спиртозавода Данилова», кон. XIX–нач. XX вв. Красноярский край, Минусинский район, с. Знаменка, ул. Ленина, 61.</w:t>
      </w: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1/3*100=33,33%</w:t>
      </w: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Объекты культурного наследия, находящиеся в муниципальной собственности, которые требуют косметического ремонта, в общем кол</w:t>
      </w:r>
      <w:r w:rsidRPr="00B969D7">
        <w:rPr>
          <w:rFonts w:ascii="Times New Roman" w:hAnsi="Times New Roman" w:cs="Times New Roman"/>
          <w:sz w:val="28"/>
          <w:szCs w:val="28"/>
        </w:rPr>
        <w:t>ичестве объектов.</w:t>
      </w: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Братская могила участников Минусинского восстания, замученных белогвардейцами в ноябре 1918 г., и партизан, погибших в боях с колчаковцами в сентябре 1919 г. Минусинский район, с. Городок, ул. Щетинкина, 1В.</w:t>
      </w:r>
    </w:p>
    <w:p w:rsidR="00000000" w:rsidRPr="00B969D7" w:rsidRDefault="00B969D7" w:rsidP="00B969D7">
      <w:pPr>
        <w:autoSpaceDE w:val="0"/>
        <w:autoSpaceDN w:val="0"/>
        <w:adjustRightInd w:val="0"/>
        <w:spacing w:after="1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>- Могила Шаповалова Терентия</w:t>
      </w:r>
      <w:r w:rsidRPr="00B969D7">
        <w:rPr>
          <w:rFonts w:ascii="Times New Roman" w:hAnsi="Times New Roman" w:cs="Times New Roman"/>
          <w:sz w:val="28"/>
          <w:szCs w:val="28"/>
        </w:rPr>
        <w:t xml:space="preserve"> Александровича, члена исполкома Минусинского Совета рабочих, крестьянских и солдатских депутатов, замученного колчаковцами в 1918 г. Минусинский район, с. Большая Иня.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9D7">
        <w:rPr>
          <w:rFonts w:ascii="Times New Roman" w:hAnsi="Times New Roman" w:cs="Times New Roman"/>
          <w:sz w:val="28"/>
          <w:szCs w:val="28"/>
        </w:rPr>
        <w:t>В результате актуализации данных по собственности  в отношении объектов культурного на</w:t>
      </w:r>
      <w:r w:rsidRPr="00B969D7">
        <w:rPr>
          <w:rFonts w:ascii="Times New Roman" w:hAnsi="Times New Roman" w:cs="Times New Roman"/>
          <w:sz w:val="28"/>
          <w:szCs w:val="28"/>
        </w:rPr>
        <w:t>следия, процент объектов, требующих реставрации уменьшился со 100,00 до 33,33%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V. Физическая культура и спорт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На территории Минусинского района расположено 60 спортивных сооружений: 25 спортивных зала, 25 плоскостных спортивных сооружения, 1 сооружение </w:t>
      </w:r>
      <w:r w:rsidRPr="00B969D7">
        <w:rPr>
          <w:rFonts w:ascii="Times New Roman" w:hAnsi="Times New Roman" w:cs="Times New Roman"/>
          <w:sz w:val="28"/>
          <w:szCs w:val="28"/>
        </w:rPr>
        <w:t>для стрелковых видов спорта (тир), , 1 плавательный бассейн на территории КГАУ «СОЦ «Тесь», 4 объекта городской и рекреационной инфраструктуры и 5 объектов подходящих в категорию «другие спортивные объекты».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2024 году на территории Минусинского района бы</w:t>
      </w:r>
      <w:r w:rsidRPr="00B969D7">
        <w:rPr>
          <w:rFonts w:ascii="Times New Roman" w:hAnsi="Times New Roman" w:cs="Times New Roman"/>
          <w:sz w:val="28"/>
          <w:szCs w:val="28"/>
        </w:rPr>
        <w:t>ло произведено устройство нового спортивного объекта - площадки для подвижных игр в селе Знаменка.</w:t>
      </w:r>
      <w:r w:rsidRPr="00B969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Наличие на территории каждого села спортивных сооружений создает условия для занятия физической культурой и спортом в каждом населенном пункте Минусинского </w:t>
      </w:r>
      <w:r w:rsidRPr="00B969D7">
        <w:rPr>
          <w:rFonts w:ascii="Times New Roman" w:hAnsi="Times New Roman" w:cs="Times New Roman"/>
          <w:sz w:val="28"/>
          <w:szCs w:val="28"/>
        </w:rPr>
        <w:t xml:space="preserve">района.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Массовый спорт решает огромное количество социальных задач. На сегодняшний день развитие массовой физической культуры и спорта производится на базе МБУ «ЦФКиС «Енисей», в структуре которого функционируют физкультурно-спортивные клубы по месту жите</w:t>
      </w:r>
      <w:r w:rsidRPr="00B969D7">
        <w:rPr>
          <w:rFonts w:ascii="Times New Roman" w:hAnsi="Times New Roman" w:cs="Times New Roman"/>
          <w:sz w:val="28"/>
          <w:szCs w:val="28"/>
        </w:rPr>
        <w:t>льства, а спортивным резервом занимается «Спортивная Минусинского района», на базе, которой культивируются 4 вида спорта (легкая атлетика, волейбол, настольный теннис, футбол).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Обучающиеся Минусинского района занимаются физической культурой и спортом в сек</w:t>
      </w:r>
      <w:r w:rsidRPr="00B969D7">
        <w:rPr>
          <w:rFonts w:ascii="Times New Roman" w:hAnsi="Times New Roman" w:cs="Times New Roman"/>
          <w:sz w:val="28"/>
          <w:szCs w:val="28"/>
        </w:rPr>
        <w:t>циях при общеобразовательных учреждениях, физкультурно-спортивных клубах по месту жительства и в спортивной школе.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23. Доля населения, систематически занимающегося физической культурой и спортом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Растет количество людей, которые выбирают спортивный, акти</w:t>
      </w:r>
      <w:r w:rsidRPr="00B969D7">
        <w:rPr>
          <w:rFonts w:ascii="Times New Roman" w:hAnsi="Times New Roman" w:cs="Times New Roman"/>
          <w:sz w:val="28"/>
          <w:szCs w:val="28"/>
        </w:rPr>
        <w:t>вный, здоровый образ жизни. Согласно данным, в отчетном 2024 году 11714</w:t>
      </w:r>
      <w:r w:rsidRPr="00B969D7">
        <w:rPr>
          <w:rFonts w:ascii="Times New Roman" w:hAnsi="Times New Roman" w:cs="Times New Roman"/>
          <w:sz w:val="28"/>
          <w:szCs w:val="28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</w:rPr>
        <w:t xml:space="preserve">человек населения района в той или иной форме предпочли в свое свободное время активный отдых, что на 954 человека больше по сравнению с 2023 годом.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>Таким образом,  доля населения, си</w:t>
      </w:r>
      <w:r w:rsidRPr="00B969D7">
        <w:rPr>
          <w:rFonts w:ascii="Times New Roman" w:hAnsi="Times New Roman" w:cs="Times New Roman"/>
          <w:sz w:val="28"/>
          <w:szCs w:val="28"/>
        </w:rPr>
        <w:t xml:space="preserve">стематически занимающихся физической культурой и спортом составила 52,03% от общей численности населения Минусинского района, что на 4,08 % больше чем в предыдущем 2023 году. Рост показателя стал возможным благодаря устройству новых спортивных сооружений.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23.1. Доля обучающихся, систематически занимающихся физической культурой и спортом, в общей численности обучающихся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обучающихся, в 2024 году составила 96,</w:t>
      </w:r>
      <w:r w:rsidRPr="00B969D7">
        <w:rPr>
          <w:rFonts w:ascii="Times New Roman" w:hAnsi="Times New Roman" w:cs="Times New Roman"/>
          <w:sz w:val="28"/>
          <w:szCs w:val="28"/>
        </w:rPr>
        <w:t>7 %, что на 0,1% ниже прошлогоднего показателя. Падение показателя связано с увеличением численности населения в данной возрастной категории, но удержание таких высоких позиций возможно благодаря улучшению качества проводимых физкультурно-спортивных меропр</w:t>
      </w:r>
      <w:r w:rsidRPr="00B969D7">
        <w:rPr>
          <w:rFonts w:ascii="Times New Roman" w:hAnsi="Times New Roman" w:cs="Times New Roman"/>
          <w:sz w:val="28"/>
          <w:szCs w:val="28"/>
        </w:rPr>
        <w:t xml:space="preserve">иятий.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Наиболее значимыми и массовыми спортивными мероприятиями в 2024 году стали: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Муниципальный этап зимнего и летнего Фестиваля Всероссийского физкультурно-спортивного комплекса "Готов к труду и обороне";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Фестиваль Всероссийского физкультурно-спорти</w:t>
      </w:r>
      <w:r w:rsidRPr="00B969D7">
        <w:rPr>
          <w:rFonts w:ascii="Times New Roman" w:hAnsi="Times New Roman" w:cs="Times New Roman"/>
          <w:sz w:val="28"/>
          <w:szCs w:val="28"/>
        </w:rPr>
        <w:t>вного комплекса "Готов к труду и обороне" среди семейных команд;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Фестиваль Всероссийского физкультурно-спортивного комплекса "Готов к труду и обороне" трудовых коллективов;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Всероссийский день бега "Кросс - нации 2024";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Всероссийские массовые соревнов</w:t>
      </w:r>
      <w:r w:rsidRPr="00B969D7">
        <w:rPr>
          <w:rFonts w:ascii="Times New Roman" w:hAnsi="Times New Roman" w:cs="Times New Roman"/>
          <w:sz w:val="28"/>
          <w:szCs w:val="28"/>
        </w:rPr>
        <w:t>ания по уличному баскетболу 3х3 «Оранжевый мяч 2024»;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Всероссийская массовая лыжная гонка «Лыжня России 2024».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- Спартакиада допризывной молодежи Минусинского района.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VI. Жилищное строительство и обеспечение граждан жильем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24. Общая площадь жилых п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омещений, приходящаяся в среднем на одного жителя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07"/>
        <w:gridCol w:w="1100"/>
        <w:gridCol w:w="1099"/>
        <w:gridCol w:w="1099"/>
        <w:gridCol w:w="1099"/>
        <w:gridCol w:w="1101"/>
      </w:tblGrid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2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Наименование показателя и единицы измерения</w:t>
            </w:r>
          </w:p>
        </w:tc>
        <w:tc>
          <w:tcPr>
            <w:tcW w:w="27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Значения показателя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2023 факт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2024 факт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2025 оценка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2026 прогноз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2027 прогноз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lastRenderedPageBreak/>
              <w:t>1. Общая площадь жилых помещений, кв.м</w:t>
            </w:r>
            <w:r w:rsidRPr="00B969D7">
              <w:rPr>
                <w:rFonts w:ascii="Times New Roman" w:hAnsi="Times New Roman" w:cs="Times New Roman"/>
              </w:rPr>
              <w:br/>
            </w:r>
            <w:r w:rsidRPr="00B969D7">
              <w:rPr>
                <w:rFonts w:ascii="Times New Roman" w:hAnsi="Times New Roman" w:cs="Times New Roman"/>
                <w:i/>
                <w:iCs/>
              </w:rPr>
              <w:t xml:space="preserve"> (по данным статистического отчета 1-жи</w:t>
            </w:r>
            <w:r w:rsidRPr="00B969D7">
              <w:rPr>
                <w:rFonts w:ascii="Times New Roman" w:hAnsi="Times New Roman" w:cs="Times New Roman"/>
                <w:i/>
                <w:iCs/>
              </w:rPr>
              <w:t>лфонд строка 01 графа 1)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645 820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661 011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676 731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693 231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710 531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2. Введено жилых помещений за отчетный период, кв.м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28424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28 477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25720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26 500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27 300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3. Выбыло жилых помещений за отчетный период, кв.м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26594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13286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10 000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4.</w:t>
            </w:r>
            <w:r w:rsidRPr="00B969D7">
              <w:rPr>
                <w:rFonts w:ascii="Times New Roman" w:hAnsi="Times New Roman" w:cs="Times New Roman"/>
              </w:rPr>
              <w:t xml:space="preserve"> </w:t>
            </w:r>
            <w:r w:rsidRPr="00B969D7">
              <w:rPr>
                <w:rFonts w:ascii="Times New Roman" w:hAnsi="Times New Roman" w:cs="Times New Roman"/>
              </w:rPr>
              <w:t>Численность пост</w:t>
            </w:r>
            <w:r w:rsidRPr="00B969D7">
              <w:rPr>
                <w:rFonts w:ascii="Times New Roman" w:hAnsi="Times New Roman" w:cs="Times New Roman"/>
              </w:rPr>
              <w:t xml:space="preserve">оянного населения муниципального, городского округа (муниципального района)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на</w:t>
            </w:r>
            <w:r w:rsidRPr="00B969D7">
              <w:rPr>
                <w:rFonts w:ascii="Times New Roman" w:hAnsi="Times New Roman" w:cs="Times New Roman"/>
              </w:rPr>
              <w:t xml:space="preserve">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конец отчетного года</w:t>
            </w:r>
            <w:r w:rsidRPr="00B969D7">
              <w:rPr>
                <w:rFonts w:ascii="Times New Roman" w:hAnsi="Times New Roman" w:cs="Times New Roman"/>
              </w:rPr>
              <w:t>, чел.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23938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23 894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23 842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23 792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23 740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2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5. Общая площадь жилых помещений, приходящаяся в среднем на одного жителя (стр. 1/ стр.4)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26,98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27,66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28,38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29,14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29,93</w:t>
            </w:r>
          </w:p>
        </w:tc>
      </w:tr>
    </w:tbl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Численность постоянного населения на конец года в 2024 году составила 23894 человек. Средняя обеспеченность граждан жилыми помещениями в 2024 году составила </w:t>
      </w:r>
      <w:r w:rsidRPr="00B969D7">
        <w:rPr>
          <w:rFonts w:ascii="Times New Roman" w:hAnsi="Times New Roman" w:cs="Times New Roman"/>
          <w:sz w:val="28"/>
          <w:szCs w:val="28"/>
        </w:rPr>
        <w:t xml:space="preserve">27,66 кв. м, что на 0,68 кв. м больше </w:t>
      </w:r>
      <w:r w:rsidRPr="00B969D7">
        <w:rPr>
          <w:rFonts w:ascii="Times New Roman" w:hAnsi="Times New Roman" w:cs="Times New Roman"/>
          <w:sz w:val="28"/>
          <w:szCs w:val="28"/>
        </w:rPr>
        <w:t>аналогичного показателя за 2023 год. Увеличение произо</w:t>
      </w:r>
      <w:r w:rsidRPr="00B969D7">
        <w:rPr>
          <w:rFonts w:ascii="Times New Roman" w:hAnsi="Times New Roman" w:cs="Times New Roman"/>
          <w:sz w:val="28"/>
          <w:szCs w:val="28"/>
        </w:rPr>
        <w:t>шло за счет ввода в отчетном периоде объектов индивидуального жилищного строительства.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Пояснение: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Прогноз: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2025 г. численность населения на конец года, чел. – 23842, общая площадь жилых помещений, введенная в действие за год по Минусинскому району состав</w:t>
      </w:r>
      <w:r w:rsidRPr="00B969D7">
        <w:rPr>
          <w:rFonts w:ascii="Times New Roman" w:hAnsi="Times New Roman" w:cs="Times New Roman"/>
          <w:sz w:val="28"/>
          <w:szCs w:val="28"/>
        </w:rPr>
        <w:t>ит 25720 кв. м (средняя площадь введенных жилых помещений за предыдущий период 2022-2024 гг.), жил. фонд за 2025 г.- 676,731 тыс.      кв. м, поэтому показатель составит 28,38 кв. м.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2026 г. численность населения на конец года, чел. –23792, общая площадь</w:t>
      </w:r>
      <w:r w:rsidRPr="00B969D7">
        <w:rPr>
          <w:rFonts w:ascii="Times New Roman" w:hAnsi="Times New Roman" w:cs="Times New Roman"/>
          <w:sz w:val="28"/>
          <w:szCs w:val="28"/>
        </w:rPr>
        <w:t xml:space="preserve"> жилых помещений, введенная в действие за год по Минусинскому району составит 26500 кв. м, жил. фонд за 2026 г.- 693,231 тыс. кв. м, поэтому показатель составит 29,14 кв. м.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2027 г. численность населения на конец года, чел. – 23740, общая площадь жилых п</w:t>
      </w:r>
      <w:r w:rsidRPr="00B969D7">
        <w:rPr>
          <w:rFonts w:ascii="Times New Roman" w:hAnsi="Times New Roman" w:cs="Times New Roman"/>
          <w:sz w:val="28"/>
          <w:szCs w:val="28"/>
        </w:rPr>
        <w:t>омещений, введенная в действие за год по Минусинскому району составит 27300 кв. м, жил. фонд за 2027 г.- 710,531 тыс. кв. м, поэтому показатель составит 29,93 кв. м.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Увеличение показателя (общая площадь жилых помещений, введенная в действие за год) за 2025</w:t>
      </w:r>
      <w:r w:rsidRPr="00B969D7">
        <w:rPr>
          <w:rFonts w:ascii="Times New Roman" w:hAnsi="Times New Roman" w:cs="Times New Roman"/>
          <w:sz w:val="28"/>
          <w:szCs w:val="28"/>
        </w:rPr>
        <w:t>-2027 гг. произошло за счет увеличения ввода жилых помещений в среднем на 3 % по сравнению с предыдущими годами за период 2022-2024 гг. и уменьшения численности населения на конец года.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Минусинском районе в связи с тем, что строительство осуществляется т</w:t>
      </w:r>
      <w:r w:rsidRPr="00B969D7">
        <w:rPr>
          <w:rFonts w:ascii="Times New Roman" w:hAnsi="Times New Roman" w:cs="Times New Roman"/>
          <w:sz w:val="28"/>
          <w:szCs w:val="28"/>
        </w:rPr>
        <w:t>олько за счет собственных средств индивидуальных застройщиков, более доступным жилье не становится.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Проблемные вопросы.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lastRenderedPageBreak/>
        <w:t>Отсутствие финансовых средств на строительство объектов инженерной и транспортной инфраструктурой в новых микрорайонах жилой застройки д</w:t>
      </w:r>
      <w:r w:rsidRPr="00B969D7">
        <w:rPr>
          <w:rFonts w:ascii="Times New Roman" w:hAnsi="Times New Roman" w:cs="Times New Roman"/>
          <w:sz w:val="28"/>
          <w:szCs w:val="28"/>
        </w:rPr>
        <w:t xml:space="preserve">. Солдатово, с. Знаменка, д. Быстрая, с. Городок. Не обеспеченность земельных участков сетями электроснабжения и водоснабжения, а также подъездными дорогами является препятствием для их предоставления многодетным гражданам.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24.1. в том числе введенная в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 действие за один год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6"/>
        <w:gridCol w:w="625"/>
        <w:gridCol w:w="625"/>
        <w:gridCol w:w="668"/>
        <w:gridCol w:w="763"/>
        <w:gridCol w:w="763"/>
      </w:tblGrid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106" w:type="dxa"/>
            <w:vMerge w:val="restart"/>
            <w:tcBorders>
              <w:top w:val="single" w:sz="4" w:space="0" w:color="836967"/>
              <w:left w:val="single" w:sz="4" w:space="0" w:color="836967"/>
              <w:bottom w:val="nil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0" w:type="auto"/>
            <w:gridSpan w:val="5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Значения показателя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106" w:type="dxa"/>
            <w:vMerge/>
            <w:tcBorders>
              <w:top w:val="nil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2023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2024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2025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2026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2027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10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 Введено всего, кв.м (стр.1.1+1.2)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28 424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28 477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25 720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26 500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27 300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10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1.1. индивидуальное жилищное строительство</w:t>
            </w:r>
            <w:r w:rsidRPr="00B969D7">
              <w:rPr>
                <w:rFonts w:ascii="Times New Roman" w:hAnsi="Times New Roman" w:cs="Times New Roman"/>
              </w:rPr>
              <w:t>, кв.м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28 424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28 477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25 720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26 500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27 300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10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1.2. многоквартирное строительство, кв.м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10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2.</w:t>
            </w:r>
            <w:r w:rsidRPr="00B969D7">
              <w:rPr>
                <w:rFonts w:ascii="Times New Roman" w:hAnsi="Times New Roman" w:cs="Times New Roman"/>
              </w:rPr>
              <w:t xml:space="preserve">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Среднегодовая</w:t>
            </w:r>
            <w:r w:rsidRPr="00B969D7">
              <w:rPr>
                <w:rFonts w:ascii="Times New Roman" w:hAnsi="Times New Roman" w:cs="Times New Roman"/>
              </w:rPr>
              <w:t xml:space="preserve"> численность постоянного населения городского округа (муниципального района), чел.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23 977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23 916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23 868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23 817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23 766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10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3. Общая площадь жилых пом</w:t>
            </w:r>
            <w:r w:rsidRPr="00B969D7">
              <w:rPr>
                <w:rFonts w:ascii="Times New Roman" w:hAnsi="Times New Roman" w:cs="Times New Roman"/>
              </w:rPr>
              <w:t>ещений, введенная в действие за один год, приходящаяся в среднем на одного жителя (стр. 1/ стр.2)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1,19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1,19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1,08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1,11</w:t>
            </w:r>
          </w:p>
        </w:tc>
        <w:tc>
          <w:tcPr>
            <w:tcW w:w="0" w:type="auto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1,15</w:t>
            </w:r>
          </w:p>
        </w:tc>
      </w:tr>
    </w:tbl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 xml:space="preserve">В 2024 году на территории Минусинского района было введено 223 объектов капитального строительства, общей площадью 28477 кв. м., в </w:t>
      </w:r>
      <w:r w:rsidRPr="00B969D7">
        <w:rPr>
          <w:rFonts w:ascii="Times New Roman" w:hAnsi="Times New Roman" w:cs="Times New Roman"/>
          <w:sz w:val="28"/>
          <w:szCs w:val="28"/>
        </w:rPr>
        <w:t>том числе 223 объектов индивидуального жилищного строительства, общей площадью 28477 кв. м.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Увеличение показателей за 2024 год произошло за счет ввода в эксплуатацию объектов индивидуального жилищного строительства.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2024 году управлением земельно-имущест</w:t>
      </w:r>
      <w:r w:rsidRPr="00B969D7">
        <w:rPr>
          <w:rFonts w:ascii="Times New Roman" w:hAnsi="Times New Roman" w:cs="Times New Roman"/>
          <w:sz w:val="28"/>
          <w:szCs w:val="28"/>
        </w:rPr>
        <w:t>венных отношений и градостроительства администрации Минусинского района выданы следующие разрешающие документы: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уведомлений о планируемом строительстве (реконструкции) объектов индивидуального жилищного строительства – 96 шт.;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- разрешений на строительст</w:t>
      </w:r>
      <w:r w:rsidRPr="00B969D7">
        <w:rPr>
          <w:rFonts w:ascii="Times New Roman" w:hAnsi="Times New Roman" w:cs="Times New Roman"/>
          <w:sz w:val="28"/>
          <w:szCs w:val="28"/>
        </w:rPr>
        <w:t>во объектов капитального строительства – 12 шт.;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25. Площадь земельных участков, предоставленных для строительства, в расчете на 10 тыс. человек населения, 25.1. в том числе земельных участков, предоставленных для жилищного строительства, индивидуального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 строительства и комплексного освоения в целях жилищного строительства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9"/>
        <w:gridCol w:w="981"/>
        <w:gridCol w:w="829"/>
        <w:gridCol w:w="864"/>
        <w:gridCol w:w="1023"/>
        <w:gridCol w:w="1023"/>
      </w:tblGrid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4720" w:type="dxa"/>
            <w:gridSpan w:val="5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Значения показателя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2023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2024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2025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2026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2027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 Площадь земельных участков, предоставленных для строительства, всего: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 xml:space="preserve">      в том числе</w:t>
            </w: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176,70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31,26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53,00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1.1. для жилищного строительства (в т.ч. для ИЖС)</w:t>
            </w: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4,60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3,00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1.2. для комплексного освоения в целях жилищного строительства</w:t>
            </w: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0,00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1.3. для строительства объектов, не являю</w:t>
            </w:r>
            <w:r w:rsidRPr="00B969D7">
              <w:rPr>
                <w:rFonts w:ascii="Times New Roman" w:hAnsi="Times New Roman" w:cs="Times New Roman"/>
              </w:rPr>
              <w:t>щихся объектами жилищного строительства</w:t>
            </w: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172,10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27,24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50,00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2.</w:t>
            </w:r>
            <w:r w:rsidRPr="00B969D7">
              <w:rPr>
                <w:rFonts w:ascii="Times New Roman" w:hAnsi="Times New Roman" w:cs="Times New Roman"/>
              </w:rPr>
              <w:t xml:space="preserve">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Среднегодовая</w:t>
            </w:r>
            <w:r w:rsidRPr="00B969D7">
              <w:rPr>
                <w:rFonts w:ascii="Times New Roman" w:hAnsi="Times New Roman" w:cs="Times New Roman"/>
              </w:rPr>
              <w:t xml:space="preserve"> численность постоянного населения городского округа (муниципального района), чел.</w:t>
            </w: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23 977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23 916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23 868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23 817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23 766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3. Площадь земельных участков, предоставленных дл</w:t>
            </w:r>
            <w:r w:rsidRPr="00B969D7">
              <w:rPr>
                <w:rFonts w:ascii="Times New Roman" w:hAnsi="Times New Roman" w:cs="Times New Roman"/>
              </w:rPr>
              <w:t>я строительства, в расчете на 10 тыс. человек населения – всего (стр. 1/стр.2*10000)</w:t>
            </w: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73,70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13,07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22,21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22,25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22,30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4. Площадь земельных участков, предоставленных для жилищного строительства, индивидуального строительства и комплексного освоения в целях жи</w:t>
            </w:r>
            <w:r w:rsidRPr="00B969D7">
              <w:rPr>
                <w:rFonts w:ascii="Times New Roman" w:hAnsi="Times New Roman" w:cs="Times New Roman"/>
              </w:rPr>
              <w:t>лищного строительства, в расчете на 10 тыс. человек населения (стр.1.1+стр.1.2/стр.2*10000)</w:t>
            </w:r>
          </w:p>
        </w:tc>
        <w:tc>
          <w:tcPr>
            <w:tcW w:w="9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1,92</w:t>
            </w:r>
          </w:p>
        </w:tc>
        <w:tc>
          <w:tcPr>
            <w:tcW w:w="8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1,68</w:t>
            </w:r>
          </w:p>
        </w:tc>
        <w:tc>
          <w:tcPr>
            <w:tcW w:w="86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1,26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1,26</w:t>
            </w:r>
          </w:p>
        </w:tc>
        <w:tc>
          <w:tcPr>
            <w:tcW w:w="102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160"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69D7">
              <w:rPr>
                <w:rFonts w:ascii="Times New Roman" w:hAnsi="Times New Roman" w:cs="Times New Roman"/>
                <w:b/>
                <w:bCs/>
              </w:rPr>
              <w:t>1,26</w:t>
            </w:r>
          </w:p>
        </w:tc>
      </w:tr>
    </w:tbl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Площадь земельных участков, предоставленных для строительства, - всего в 2024 году составила 13,07 га на 10 тыс. человек населения, что н</w:t>
      </w:r>
      <w:r w:rsidRPr="00B969D7">
        <w:rPr>
          <w:rFonts w:ascii="Times New Roman" w:hAnsi="Times New Roman" w:cs="Times New Roman"/>
          <w:sz w:val="28"/>
          <w:szCs w:val="28"/>
        </w:rPr>
        <w:t>а 60,63 га меньше аналогичного показателя за 2023 год. Уменьшение показателя произошло за счет уменьшения земельных участков, предоставленных для развития сельскохозяйственного производства, хранения и переработки сельскохозяйственной продукции, скотоводст</w:t>
      </w:r>
      <w:r w:rsidRPr="00B969D7">
        <w:rPr>
          <w:rFonts w:ascii="Times New Roman" w:hAnsi="Times New Roman" w:cs="Times New Roman"/>
          <w:sz w:val="28"/>
          <w:szCs w:val="28"/>
        </w:rPr>
        <w:t>ва.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2024 году составила 1,68 га на 10 тыс. человек населения, что на 0,24 га менее аналогичного</w:t>
      </w:r>
      <w:r w:rsidRPr="00B969D7">
        <w:rPr>
          <w:rFonts w:ascii="Times New Roman" w:hAnsi="Times New Roman" w:cs="Times New Roman"/>
          <w:sz w:val="28"/>
          <w:szCs w:val="28"/>
        </w:rPr>
        <w:t xml:space="preserve"> показателя за 2023 год. Уменьшение показателя произошло за счет сокращения количества земельных участков для индивидуального жилищного строительства.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Прогноз: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69D7">
        <w:rPr>
          <w:rFonts w:ascii="Times New Roman" w:hAnsi="Times New Roman" w:cs="Times New Roman"/>
          <w:sz w:val="28"/>
          <w:szCs w:val="28"/>
        </w:rPr>
        <w:t>В 2025-2027 гг. на территории Минусинского района площадь земельных участков, предоставленных д</w:t>
      </w:r>
      <w:r w:rsidRPr="00B969D7">
        <w:rPr>
          <w:rFonts w:ascii="Times New Roman" w:hAnsi="Times New Roman" w:cs="Times New Roman"/>
          <w:sz w:val="28"/>
          <w:szCs w:val="28"/>
        </w:rPr>
        <w:t>ля строительства (за исключением строительства объектов жилищного строительства), составит 50,0 га. Цель строительства – скотоводство, строительная промышленность.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26. Площадь земельных участков, предоставленных для строительства, в отношении которых с д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26.1. объектов жилищного строительства - в течение 3 лет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481"/>
        <w:gridCol w:w="1192"/>
        <w:gridCol w:w="1618"/>
        <w:gridCol w:w="1252"/>
        <w:gridCol w:w="1234"/>
        <w:gridCol w:w="2143"/>
      </w:tblGrid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410" w:type="dxa"/>
            <w:gridSpan w:val="7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26.1. Площадь зем</w:t>
            </w:r>
            <w:r w:rsidRPr="00B969D7">
              <w:rPr>
                <w:rFonts w:ascii="Times New Roman" w:hAnsi="Times New Roman" w:cs="Times New Roman"/>
              </w:rPr>
              <w:t xml:space="preserve">ельных участков, предоставленных для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жилищного строительства</w:t>
            </w:r>
            <w:r w:rsidRPr="00B969D7">
              <w:rPr>
                <w:rFonts w:ascii="Times New Roman" w:hAnsi="Times New Roman" w:cs="Times New Roman"/>
              </w:rPr>
              <w:t xml:space="preserve">, </w:t>
            </w:r>
            <w:r w:rsidRPr="00B969D7">
              <w:rPr>
                <w:rFonts w:ascii="Times New Roman" w:hAnsi="Times New Roman" w:cs="Times New Roman"/>
              </w:rPr>
              <w:br/>
              <w:t xml:space="preserve">в отношении которых с даты принятия решения о предоставлении земельного участка </w:t>
            </w:r>
            <w:r w:rsidRPr="00B969D7">
              <w:rPr>
                <w:rFonts w:ascii="Times New Roman" w:hAnsi="Times New Roman" w:cs="Times New Roman"/>
              </w:rPr>
              <w:br/>
              <w:t>или подписания протокола о результатах торгов (конкурсов, аукционов) не было получено разрешение на ввод в экспл</w:t>
            </w:r>
            <w:r w:rsidRPr="00B969D7">
              <w:rPr>
                <w:rFonts w:ascii="Times New Roman" w:hAnsi="Times New Roman" w:cs="Times New Roman"/>
              </w:rPr>
              <w:t xml:space="preserve">уатацию в течение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3 лет</w:t>
            </w:r>
            <w:r w:rsidRPr="00B969D7">
              <w:rPr>
                <w:rFonts w:ascii="Times New Roman" w:hAnsi="Times New Roman" w:cs="Times New Roman"/>
              </w:rPr>
              <w:t>, кв.м.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Наименование и строительный адрес объекта</w:t>
            </w:r>
          </w:p>
        </w:tc>
        <w:tc>
          <w:tcPr>
            <w:tcW w:w="119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Площадь земельного участка, кв.м.</w:t>
            </w:r>
          </w:p>
        </w:tc>
        <w:tc>
          <w:tcPr>
            <w:tcW w:w="161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Дата принятия решения о предоставлении земельного участка или подписания протокола о результатах торгов (конкурсов, аукционов)</w:t>
            </w:r>
          </w:p>
        </w:tc>
        <w:tc>
          <w:tcPr>
            <w:tcW w:w="125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Дата выдачи раз</w:t>
            </w:r>
            <w:r w:rsidRPr="00B969D7">
              <w:rPr>
                <w:rFonts w:ascii="Times New Roman" w:hAnsi="Times New Roman" w:cs="Times New Roman"/>
              </w:rPr>
              <w:t>решения на строитель-ство</w:t>
            </w:r>
          </w:p>
        </w:tc>
        <w:tc>
          <w:tcPr>
            <w:tcW w:w="1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Срок действия разрешения на строитель-ство</w:t>
            </w:r>
          </w:p>
        </w:tc>
        <w:tc>
          <w:tcPr>
            <w:tcW w:w="214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 xml:space="preserve">Общая площадь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 xml:space="preserve">жилищного строительства </w:t>
            </w:r>
            <w:r w:rsidRPr="00B969D7">
              <w:rPr>
                <w:rFonts w:ascii="Times New Roman" w:hAnsi="Times New Roman" w:cs="Times New Roman"/>
              </w:rPr>
              <w:t>на предоставленном земельном участке, кв.м. (проектная)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1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>26.2. иных объектов капитального строительства - в течение 5 лет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481"/>
        <w:gridCol w:w="1942"/>
        <w:gridCol w:w="1853"/>
        <w:gridCol w:w="2244"/>
        <w:gridCol w:w="1400"/>
        <w:gridCol w:w="53"/>
      </w:tblGrid>
      <w:tr w:rsidR="00B969D7" w:rsidRPr="00B969D7">
        <w:tblPrEx>
          <w:tblCellMar>
            <w:top w:w="0" w:type="dxa"/>
            <w:bottom w:w="0" w:type="dxa"/>
          </w:tblCellMar>
        </w:tblPrEx>
        <w:trPr>
          <w:gridAfter w:val="1"/>
          <w:wAfter w:w="53" w:type="dxa"/>
          <w:trHeight w:val="1"/>
        </w:trPr>
        <w:tc>
          <w:tcPr>
            <w:tcW w:w="9410" w:type="dxa"/>
            <w:gridSpan w:val="6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 xml:space="preserve">26.2. Площадь земельных участков, предоставленных для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иных объектов капитального строительства, в отношении</w:t>
            </w:r>
            <w:r w:rsidRPr="00B969D7">
              <w:rPr>
                <w:rFonts w:ascii="Times New Roman" w:hAnsi="Times New Roman" w:cs="Times New Roman"/>
              </w:rPr>
              <w:t xml:space="preserve"> которых с даты принятия решения о предоставлении земельного участка или подписания протокола о результатах торгов (конкурсов, аукционов) не было п</w:t>
            </w:r>
            <w:r w:rsidRPr="00B969D7">
              <w:rPr>
                <w:rFonts w:ascii="Times New Roman" w:hAnsi="Times New Roman" w:cs="Times New Roman"/>
              </w:rPr>
              <w:t xml:space="preserve">олучено разрешение на ввод в эксплуатацию в течение </w:t>
            </w:r>
            <w:r w:rsidRPr="00B969D7">
              <w:rPr>
                <w:rFonts w:ascii="Times New Roman" w:hAnsi="Times New Roman" w:cs="Times New Roman"/>
                <w:b/>
                <w:bCs/>
              </w:rPr>
              <w:t>5 лет</w:t>
            </w:r>
            <w:r w:rsidRPr="00B969D7">
              <w:rPr>
                <w:rFonts w:ascii="Times New Roman" w:hAnsi="Times New Roman" w:cs="Times New Roman"/>
              </w:rPr>
              <w:t>, кв.м.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Наименование и строительный адрес объекта</w:t>
            </w:r>
          </w:p>
        </w:tc>
        <w:tc>
          <w:tcPr>
            <w:tcW w:w="194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Площадь земельных участков, кв.м.</w:t>
            </w:r>
          </w:p>
        </w:tc>
        <w:tc>
          <w:tcPr>
            <w:tcW w:w="18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Дата принятия решения о предоставлении земельного участка или подписания протокола о результатах торгов (кон</w:t>
            </w:r>
            <w:r w:rsidRPr="00B969D7">
              <w:rPr>
                <w:rFonts w:ascii="Times New Roman" w:hAnsi="Times New Roman" w:cs="Times New Roman"/>
              </w:rPr>
              <w:t>курсов, аукционов)</w:t>
            </w:r>
          </w:p>
        </w:tc>
        <w:tc>
          <w:tcPr>
            <w:tcW w:w="224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Дата выдачи разрешения на строительство</w:t>
            </w:r>
          </w:p>
        </w:tc>
        <w:tc>
          <w:tcPr>
            <w:tcW w:w="1453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Срок действия разрешения на строительство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4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9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42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53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3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69D7">
              <w:rPr>
                <w:rFonts w:ascii="Times New Roman" w:hAnsi="Times New Roman" w:cs="Times New Roman"/>
              </w:rPr>
              <w:t>0</w:t>
            </w:r>
          </w:p>
        </w:tc>
      </w:tr>
    </w:tbl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lastRenderedPageBreak/>
        <w:t>VII. Жилищно-коммунальное хозяйство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</w:rPr>
        <w:t xml:space="preserve">27. Доля многоквартирных домов, в которых собственники помещений выбрали и реализуют один </w:t>
      </w:r>
      <w:r w:rsidRPr="00B969D7">
        <w:rPr>
          <w:rFonts w:ascii="Times New Roman" w:hAnsi="Times New Roman" w:cs="Times New Roman"/>
          <w:b/>
          <w:bCs/>
          <w:sz w:val="28"/>
          <w:szCs w:val="28"/>
        </w:rPr>
        <w:t>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На территории района расположено 40 многоквартирных домов. Число многоквартирных домов, в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которых собственники помещений должны выбрать способ управления данными домами составляет 40 домов, из них 40 домов выбрали способ управления данными домами, в т.ч.: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ТСЖ - 1;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управление управляющей организацией - 19;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непосредственное управление собственни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ками помещений в многоквартирном доме – 20.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В процентном отношении доля многоквартирных домов составила -100 процентов.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28. Доля организаций коммунального комплекса, осуществляющих производство товаров, оказание услуг по водо-, тепло-, газо-, электроснаб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униципального, городского округов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муниципального, городского округов (му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ниципального района)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В 2024 году на территории муниципального района осуществляли деятельность 4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о</w:t>
      </w:r>
      <w:r w:rsidRPr="00B969D7">
        <w:rPr>
          <w:rFonts w:ascii="Times New Roman" w:hAnsi="Times New Roman" w:cs="Times New Roman"/>
          <w:spacing w:val="-12"/>
          <w:sz w:val="28"/>
          <w:szCs w:val="28"/>
          <w:u w:color="FF0000"/>
        </w:rPr>
        <w:t>рганизации коммунального комплекса, 3 из которых имеют частную форму собственности: ПАО «Красноярскэнергосбыт», ООО «Росттех», АО «Красэко».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Доля организаций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lastRenderedPageBreak/>
        <w:t>составляет не более 25 процентов, в общем числе организаций коммунального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комплекса, осуществляющих свою деятельность на территории района в 2024 году составила 75 процентов.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По состоянию на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01 января 2024 года в целом по району жилищный фонд составил 40 многоквартирных жилых домов. Проведены межевые работы и поставлено на государственный кадастровый учет 40 многоквартирных жилых домов. Показатель доли многоквартирных домов, расположенных на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земельных участках, в отношении которых осуществлен государственный кадастровый учет составляет 100 процентов.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Расшифровка значений показателей, используемых при расчете: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4844"/>
        <w:gridCol w:w="992"/>
        <w:gridCol w:w="992"/>
        <w:gridCol w:w="992"/>
        <w:gridCol w:w="993"/>
        <w:gridCol w:w="850"/>
      </w:tblGrid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4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Наименование показателя и единицы измерения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Значения показателя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4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2022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2023 фа</w:t>
            </w: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2024 оценка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20245 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2026 прогноз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4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1. Число многоквартирных домов, расположенных на земельных участках, в отношении которых осуществлен государственный кадастровый учет, 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1011"/>
        </w:trPr>
        <w:tc>
          <w:tcPr>
            <w:tcW w:w="4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>2. Общее число многоквартирных домов по состоянию на конец</w:t>
            </w: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t xml:space="preserve"> отчетного периода, единиц </w:t>
            </w:r>
            <w:r w:rsidRPr="00B969D7">
              <w:rPr>
                <w:rFonts w:ascii="Times New Roman" w:hAnsi="Times New Roman" w:cs="Times New Roman"/>
                <w:sz w:val="20"/>
                <w:szCs w:val="20"/>
                <w:u w:color="FF0000"/>
              </w:rPr>
              <w:br/>
            </w:r>
            <w:r w:rsidRPr="00B969D7">
              <w:rPr>
                <w:rFonts w:ascii="Times New Roman" w:hAnsi="Times New Roman" w:cs="Times New Roman"/>
                <w:i/>
                <w:iCs/>
                <w:sz w:val="20"/>
                <w:szCs w:val="20"/>
                <w:u w:color="FF0000"/>
              </w:rPr>
              <w:t>(по данным статистического отчета 1-жилфонд строка 01 графа 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sz w:val="18"/>
                <w:szCs w:val="18"/>
                <w:u w:color="FF0000"/>
              </w:rPr>
              <w:t>40</w:t>
            </w:r>
          </w:p>
        </w:tc>
      </w:tr>
      <w:tr w:rsidR="00B969D7" w:rsidRPr="00B969D7">
        <w:tblPrEx>
          <w:tblCellMar>
            <w:top w:w="0" w:type="dxa"/>
            <w:bottom w:w="0" w:type="dxa"/>
          </w:tblCellMar>
        </w:tblPrEx>
        <w:trPr>
          <w:trHeight w:val="946"/>
        </w:trPr>
        <w:tc>
          <w:tcPr>
            <w:tcW w:w="4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20"/>
                <w:szCs w:val="20"/>
                <w:u w:color="FF0000"/>
              </w:rPr>
              <w:t>3. Доля многоквартирных домов, расположенных на земельных участках, в отношении которых осуществлен государственный кадастровый учет, % (стр. 1/стр</w:t>
            </w:r>
            <w:r w:rsidRPr="00B969D7">
              <w:rPr>
                <w:rFonts w:ascii="Times New Roman" w:hAnsi="Times New Roman" w:cs="Times New Roman"/>
                <w:b/>
                <w:bCs/>
                <w:sz w:val="20"/>
                <w:szCs w:val="20"/>
                <w:u w:color="FF0000"/>
              </w:rPr>
              <w:t>.2*100)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00000" w:rsidRPr="00B969D7" w:rsidRDefault="00B969D7" w:rsidP="00B96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sz w:val="18"/>
                <w:szCs w:val="18"/>
                <w:u w:color="FF0000"/>
              </w:rPr>
              <w:t>100,00</w:t>
            </w:r>
          </w:p>
        </w:tc>
      </w:tr>
    </w:tbl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30.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pacing w:val="2"/>
          <w:sz w:val="28"/>
          <w:szCs w:val="28"/>
          <w:highlight w:val="white"/>
          <w:u w:color="FF0000"/>
        </w:rPr>
        <w:t>В настоящее время н</w:t>
      </w:r>
      <w:r w:rsidRPr="00B969D7">
        <w:rPr>
          <w:rFonts w:ascii="Times New Roman" w:hAnsi="Times New Roman" w:cs="Times New Roman"/>
          <w:spacing w:val="2"/>
          <w:sz w:val="28"/>
          <w:szCs w:val="28"/>
          <w:highlight w:val="white"/>
          <w:u w:color="FF0000"/>
        </w:rPr>
        <w:t>а территории района реализуются мероприятия подпрограммы «Устойчивое развитие сельских поселений» по 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беспечению доступности улучшения жилищных условий граждан, проживающих в сельской местности, в том числе молодых семей и молодых специалистов, работающих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в организациях агропромышленного комплекса и социальной сферы в рамках </w:t>
      </w:r>
      <w:r w:rsidRPr="00B969D7">
        <w:rPr>
          <w:rFonts w:ascii="Times New Roman" w:hAnsi="Times New Roman" w:cs="Times New Roman"/>
          <w:spacing w:val="2"/>
          <w:sz w:val="28"/>
          <w:szCs w:val="28"/>
          <w:highlight w:val="white"/>
          <w:u w:color="FF0000"/>
        </w:rPr>
        <w:t>государственной программы Красноярского края «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Развитие сельского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lastRenderedPageBreak/>
        <w:t>хозяйства и регулирование рынков сельскохозяйственной продукции, сырья и продовольствия».</w:t>
      </w:r>
      <w:r w:rsidRPr="00B969D7">
        <w:rPr>
          <w:rFonts w:ascii="Times New Roman" w:hAnsi="Times New Roman" w:cs="Times New Roman"/>
          <w:spacing w:val="2"/>
          <w:sz w:val="28"/>
          <w:szCs w:val="28"/>
          <w:highlight w:val="white"/>
          <w:u w:color="FF0000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Цель программы - создание ко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мфортных условий жизнедеятельности в сельской местности с целью укрепления кадрового потенциала сельских территорий, а именно  получение социальных выплат на строительство (приобретение) жилья молодым семьям и молодым специалистам, проживающим и работающим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на селе, либо изъявившим желание переехать на постоянное место жительства в сельскую местность и работать там.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Направляются средства на улучшение жилищных условий граждан, проживающих в сельской местности, в том числе молодых семей и молодых специалистов,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работающих в организациях АПК и социальной сфере. В 2024 году было согласовано выделение субсидий на строительство и приобретения жилья 9 молодым семьям проживающим на территории Минусинского района, в 2025 году – 6 молодых семей могут воспользоваться дан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ной субсидией.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ab/>
        <w:t xml:space="preserve">В 2024 году жилищные условия по договорам социального найма улучшила -  1 малоимущая семья. </w:t>
      </w:r>
    </w:p>
    <w:p w:rsidR="00000000" w:rsidRPr="00B969D7" w:rsidRDefault="00B969D7" w:rsidP="00B969D7">
      <w:pPr>
        <w:autoSpaceDE w:val="0"/>
        <w:autoSpaceDN w:val="0"/>
        <w:adjustRightInd w:val="0"/>
        <w:spacing w:after="16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Снижение доли населения, получивших жилые помещения и улучшивших свои жилищные условия в 2024 году, произошло за счёт увеличения численности семей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, поставленных на учёте в качестве нуждающихся в жилых помещениях по договорам социально найма (увеличение на  7 семей в сравнении с 2023 годом). Администрацией района планируется  проводить дальнейшую работу по выморачиванию безхозного жилья и последующей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сдачи его на условиях социального найма жилых помещений.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92"/>
        <w:gridCol w:w="979"/>
        <w:gridCol w:w="979"/>
        <w:gridCol w:w="979"/>
        <w:gridCol w:w="979"/>
        <w:gridCol w:w="980"/>
      </w:tblGrid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4992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Наименование показателя и единицы измерения</w:t>
            </w:r>
          </w:p>
        </w:tc>
        <w:tc>
          <w:tcPr>
            <w:tcW w:w="2937" w:type="dxa"/>
            <w:gridSpan w:val="3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Значения показателя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  <w:tc>
          <w:tcPr>
            <w:tcW w:w="980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4992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2023 факт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2024 факт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2025 оценка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2026 прогноз</w:t>
            </w:r>
          </w:p>
        </w:tc>
        <w:tc>
          <w:tcPr>
            <w:tcW w:w="980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2027 прогноз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423"/>
        </w:trPr>
        <w:tc>
          <w:tcPr>
            <w:tcW w:w="4992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1. Численность населения (семей), получившего жилые помещения и улучш</w:t>
            </w:r>
            <w:r w:rsidRPr="00B969D7">
              <w:rPr>
                <w:rFonts w:ascii="Times New Roman" w:hAnsi="Times New Roman" w:cs="Times New Roman"/>
                <w:u w:color="FF0000"/>
              </w:rPr>
              <w:t xml:space="preserve">ившего жилищные условия </w:t>
            </w: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по договору социального найма в отчетном году</w:t>
            </w:r>
            <w:r w:rsidRPr="00B969D7">
              <w:rPr>
                <w:rFonts w:ascii="Times New Roman" w:hAnsi="Times New Roman" w:cs="Times New Roman"/>
                <w:u w:color="FF0000"/>
              </w:rPr>
              <w:t>.</w:t>
            </w:r>
          </w:p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u w:color="FF0000"/>
              </w:rPr>
            </w:pPr>
            <w:r w:rsidRPr="00B969D7">
              <w:rPr>
                <w:rFonts w:ascii="Times New Roman" w:hAnsi="Times New Roman" w:cs="Times New Roman"/>
                <w:i/>
                <w:iCs/>
                <w:u w:color="FF0000"/>
              </w:rPr>
              <w:t>(</w:t>
            </w:r>
            <w:r w:rsidRPr="00B969D7">
              <w:rPr>
                <w:rFonts w:ascii="Times New Roman" w:hAnsi="Times New Roman" w:cs="Times New Roman"/>
                <w:i/>
                <w:iCs/>
                <w:u w:color="FF0000"/>
              </w:rPr>
              <w:t>по данным статистического отчета 4-соцнайм графа 3 строка 01 минус строка 02)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</w:t>
            </w:r>
          </w:p>
        </w:tc>
        <w:tc>
          <w:tcPr>
            <w:tcW w:w="980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4992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 xml:space="preserve">2. </w:t>
            </w:r>
            <w:r w:rsidRPr="00B969D7">
              <w:rPr>
                <w:rFonts w:ascii="Times New Roman" w:hAnsi="Times New Roman" w:cs="Times New Roman"/>
                <w:u w:color="FF0000"/>
              </w:rPr>
              <w:t>Численность населения (семей), состоящего на учете в качестве нуждающегося в жилых помещения</w:t>
            </w:r>
            <w:r w:rsidRPr="00B969D7">
              <w:rPr>
                <w:rFonts w:ascii="Times New Roman" w:hAnsi="Times New Roman" w:cs="Times New Roman"/>
                <w:u w:color="FF0000"/>
              </w:rPr>
              <w:t>х по договорам социального найма на конец прошлого года, чел. *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60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67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67</w:t>
            </w:r>
          </w:p>
        </w:tc>
        <w:tc>
          <w:tcPr>
            <w:tcW w:w="979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67</w:t>
            </w:r>
          </w:p>
        </w:tc>
        <w:tc>
          <w:tcPr>
            <w:tcW w:w="980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67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445"/>
        </w:trPr>
        <w:tc>
          <w:tcPr>
            <w:tcW w:w="4992" w:type="dxa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 xml:space="preserve">3. </w:t>
            </w: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</w:t>
            </w: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х помещениях, % (стр. 1/стр. 2*100)</w:t>
            </w:r>
          </w:p>
        </w:tc>
        <w:tc>
          <w:tcPr>
            <w:tcW w:w="979" w:type="dxa"/>
            <w:shd w:val="solid" w:color="C0C0C0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3,33</w:t>
            </w:r>
          </w:p>
        </w:tc>
        <w:tc>
          <w:tcPr>
            <w:tcW w:w="979" w:type="dxa"/>
            <w:shd w:val="solid" w:color="C0C0C0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1,49</w:t>
            </w:r>
          </w:p>
        </w:tc>
        <w:tc>
          <w:tcPr>
            <w:tcW w:w="979" w:type="dxa"/>
            <w:shd w:val="solid" w:color="C0C0C0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2,99</w:t>
            </w:r>
          </w:p>
        </w:tc>
        <w:tc>
          <w:tcPr>
            <w:tcW w:w="979" w:type="dxa"/>
            <w:shd w:val="solid" w:color="C0C0C0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2,99</w:t>
            </w:r>
          </w:p>
        </w:tc>
        <w:tc>
          <w:tcPr>
            <w:tcW w:w="980" w:type="dxa"/>
            <w:shd w:val="solid" w:color="C0C0C0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2,99</w:t>
            </w:r>
          </w:p>
        </w:tc>
      </w:tr>
    </w:tbl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lastRenderedPageBreak/>
        <w:t>VIII. Организация муниципального управления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) в общем объеме собственных доходов бюджета муниципального образования (без учета субвенций)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Из общей суммы доходов консолидированного бюджета за 2024 год доля налоговых и неналоговых  доходов  составляет  20,08 %  (в 2023 году – 21,38%) от  общего объем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а собственных доходов бюджета муниципального образования (за исключением поступлений налоговых доходов по дополнительным нормативам и без учета субвенций).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Объем исполненных доходов консолидированного бюджета Минусинского района в 2024 году составляет 2 1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34 242 700,60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Объем исполненных налоговых и неналоговых доходов консолидированного бюджета Минусинского района в 2024 году составляет 262 280 672,49 рублей.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Наибольший удельный вес в собственных доходах в 2024 году составляет налог на доходы физич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еских лиц 45,6%, неналоговые доходы составляют 20,0%, налоги на совокупный доход – 19,2%,  прочие налоги и сборы – 15,2%.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В сравнении с 2023 годом по основным налоговым поступлениям произошло увеличение по налогу на доходы физических лиц на 15,8%, по нало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гам на совокупный доход на 44,3%, по налогам на имущество на 19,4%. Рост поступлений налога на доходы физических лиц в 2024 году обусловлен повышением заработной платы работникам бюджетной сферы по основному месту работы в размере ежемесячной выплаты в раз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мере 3 000 рублей с начислением на нее районного коэффициента и процентной надбавки к заработной плате за стаж работы в районах Крайнего Севера и приравненных к ним местностях и повышением МРОТ с 01.01.2024 года на 18,5%. Основное увеличение произошло по е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диному сельскохозяйственному налогу на 406,3% или на 11 034 927,96 рублей, рост обусловлен, реализацией большого объема зерновых культур.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По неналоговым доходам поступление в консолидированный бюджет Минусинского района в сравнении с 2023 годом уменьшились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на 14,4%.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Наибольший удельный вес в неналоговых поступлениях в консолидированный бюджет Минусинского района отмечен по доходам, получаемым в виде арендной платы за земельные участки 46,7%, по доходам от оказания платных услуг и компенсации затрат государс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тва – 17,8% и по доходам от сдачи в аренду имущества - 12,7%.  К уровню 2024 года темп роста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lastRenderedPageBreak/>
        <w:t>по доходам, получаемым в виде арендной платы за земельные участки составил 91,2% за счет изменения кадастровой стоимости земельных участков.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Из общего объема безво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змездных поступлений в 2024 году дотации составляют 727 466 500 рублей; субвенции – 827 827 390,71 рублей; субсидии – 214 542 425,27 рублей; иные межбюджетные трансферты – 109 428 599,68  рублей; прочие безвозмездные поступления – 3 699 907,60 рублей; возв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рат остатков субсидий, субвенций и иных межбюджетных трансфертов – (- 11 002 795,15 рублей).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Безвозмездные поступления в консолидированный бюджет Минусинского района в 2024 году составили 87,7% от общего объема доходов. По сравнению с уровнем прошлого года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данные поступления увеличились на 0,4 %.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Оценка доли налоговых и неналоговых доходов в 2025 году составляет 21,03 % от  общего объема собственных доходов бюджета муниципального образования (за исключением поступлений налоговых доходов по дополнительным но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рмативам и без учета субвенций).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Оценка объема доходов консолидированного бюджета Минусинского района в 2025 году составляет 2 120 707 902,56 рубля.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Оценка объема налоговых и неналоговых доходов консолидированного бюджета Минусинского района в 2025 году с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оставляет 261 180 958,64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Субвенции в 2025 году составляют 878 937 518,49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Прогноз доли налоговых и неналоговых доходов в 2026 году составляет 29,12%, в 2027 году – 31,29%.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Прогноз объема доходов консолидированного бюджета Минусинского района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в 2026 году составляет 1 766 391 540,27 рублей, в 2027 году – 1 775 551 359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Прогноз объема налоговых и неналоговых доходов консолидированного бюджета Минусинского района в 2026 году составляет 278 177 224 рубля, в 2027 году – 300 972 141 рубль.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Су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бвенции в 2026 году составляют 811 006 400 рублей, в 2027 году – 813 594 100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Просроченной кредиторской задолженности по оплате труда (включая начисления на оплату труда) муниципальных учреждений на территории Минусинского района по состоянию на 01.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01.2025 нет.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определены исходя из расходов по оплате труда работников органов местного самоуправления,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отражаемых по всем разделам бюджетной классификации расходов</w:t>
      </w:r>
      <w:r w:rsidRPr="00B969D7">
        <w:rPr>
          <w:rFonts w:ascii="Times New Roman" w:hAnsi="Times New Roman" w:cs="Times New Roman"/>
          <w:b/>
          <w:bCs/>
          <w:sz w:val="30"/>
          <w:szCs w:val="30"/>
          <w:u w:color="FF0000"/>
        </w:rPr>
        <w:t xml:space="preserve"> </w:t>
      </w:r>
      <w:r w:rsidRPr="00B969D7">
        <w:rPr>
          <w:rFonts w:ascii="Times New Roman" w:hAnsi="Times New Roman" w:cs="Times New Roman"/>
          <w:sz w:val="30"/>
          <w:szCs w:val="30"/>
          <w:u w:color="FF0000"/>
        </w:rPr>
        <w:t>и</w:t>
      </w:r>
      <w:r w:rsidRPr="00B969D7">
        <w:rPr>
          <w:rFonts w:ascii="Times New Roman" w:hAnsi="Times New Roman" w:cs="Times New Roman"/>
          <w:b/>
          <w:bCs/>
          <w:sz w:val="30"/>
          <w:szCs w:val="30"/>
          <w:u w:color="FF0000"/>
        </w:rPr>
        <w:t xml:space="preserve">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включают средства на оплату труда и начисления на выплаты по оплате труда (код классификации операций сектора государственного управления 211 «Заработная плата» + 213 «Начисления на выплаты по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оплате труда»).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lastRenderedPageBreak/>
        <w:t>При формировании показателя учтены расходы бюджета муниципального района и бюджетов сельских поселений, входящих в состав Минусинского района.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 xml:space="preserve">32. Доля основных фондов организаций муниципальной формы собственности, находящихся в стадии 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банкротства, в основных фондах организаций муниципальной формы собственности (на конец года, по полной учетной стоимости)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</w:t>
      </w:r>
      <w:r w:rsidRPr="00B969D7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униципальной формы собственности (на конец 2024 года, </w:t>
      </w:r>
      <w:r w:rsidRPr="00B969D7">
        <w:rPr>
          <w:rFonts w:ascii="Times New Roman" w:hAnsi="Times New Roman" w:cs="Times New Roman"/>
          <w:sz w:val="28"/>
          <w:szCs w:val="28"/>
          <w:highlight w:val="white"/>
          <w:u w:color="FF0000"/>
        </w:rPr>
        <w:br/>
        <w:t xml:space="preserve">по полной учетной стоимости) составляет 0%, так как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организации муниципальной формы собственности, находящихся в стадии банкротства по состоянию на 31.12.2024 на территории Минусиснкого района отсутств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уют.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33. Объем не завершенного в установленные сроки строительства, осуществляемого за счет средств бюджета муниципального, городского округов (муниципального района)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Объекты незавершенного строительства, строительство которых осуществлялось за счет сре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дств бюджета района, на территории Минусинского района отсутствуют.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у труда (включая начисления на оплату труда)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Просроченная кредиторская задолженность по оплате труда (включая начисления на оплату труда) муниципальных учреждений на территории Минусинского района по состоянию на 01.01.2024 отсутствует.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35. Расходы бюдж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Общий объем расходов бюджета муниципального образования на содержание работников органов местного самоуправления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за 2024 год определен из данных, предоставленных в министерство финансов края по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lastRenderedPageBreak/>
        <w:t>форме 0503387. ФОТ по КВР 121+129 составил 151 665,0тыс. рублей, Численность населения – 23 916 человек. Соответственно, расходы бюджета на одного жителя составили 6 341,57 ру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бль.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На 2025 год объем расходов бюджета на содержание работников органов местного самоуправления составляет 177 097,5 тыс. рублей в соответствии с утвержденными бюджетными ассигнованиями на год. Численность населения – 23 868 человек. Соответственно, расхо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ды бюджета на одного жителя составляют 7 419,87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На 2026 год объем расходов бюджета на содержание работников органов местного самоуправления составляет 145 794,5 тыс. рублей в соответствии с утвержденными бюджетными ассигнованиями на год. Численност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ь населения – 23 817 человека. Соответственно, расходы бюджета на одного жителя составляют 6 121,45 рублей.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На 2027 год  объем расходов бюджета на содержание работников органов местного самоуправления составляет 145 300,9 тыс. рублей в соответствии с утвер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жденными бюджетными ассигнованиями на год. Численность населения – 23 766 человек. Соответственно, расходы бюджета на одного жителя составляют 6 113,81 рубля.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36. Наличие в муниципальном, городском округе (муниципальном районе) утвержденного генеральног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о плана муниципального, городского округов (схемы территориального планирования муниципального района)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На территориях всех 13 сельских поселений Минусинского района утверждены генеральные планы, правила землепользования и застройки.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Развитие территории М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инусинского района базируется на документах территориального планирования и данные документы являются правовой основой для подготовки документации по планировке территории и последующего строительства объектов, в том числе и жилищного строительства.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Схема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территориального планирования района утверждена решением Минусинского районного Совета депутатов от 26.12.2012 № 196-рс.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37. Удовлетворенность населения деятельностью местного самоуправления муниципального, городского округов (муниципального района)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Удо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влетворенность населения деятельностью органов местного самоуправления городского округа (муниципального района) составила 52%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38. Среднегодовая численность постоянного населения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4"/>
        <w:gridCol w:w="2442"/>
        <w:gridCol w:w="1112"/>
        <w:gridCol w:w="1111"/>
        <w:gridCol w:w="1111"/>
        <w:gridCol w:w="1111"/>
        <w:gridCol w:w="1111"/>
        <w:gridCol w:w="1107"/>
      </w:tblGrid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 xml:space="preserve">№ </w:t>
            </w:r>
            <w:r w:rsidRPr="00B969D7">
              <w:rPr>
                <w:rFonts w:ascii="Times New Roman" w:hAnsi="Times New Roman" w:cs="Times New Roman"/>
                <w:u w:color="FF0000"/>
              </w:rPr>
              <w:t>п/п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Наименование показателя</w:t>
            </w:r>
          </w:p>
        </w:tc>
        <w:tc>
          <w:tcPr>
            <w:tcW w:w="1709" w:type="pct"/>
            <w:gridSpan w:val="3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Значения показателя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 xml:space="preserve">2023 </w:t>
            </w:r>
            <w:r w:rsidRPr="00B969D7">
              <w:rPr>
                <w:rFonts w:ascii="Times New Roman" w:hAnsi="Times New Roman" w:cs="Times New Roman"/>
                <w:u w:color="FF0000"/>
              </w:rPr>
              <w:t>факт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2024 ф</w:t>
            </w:r>
            <w:r w:rsidRPr="00B969D7">
              <w:rPr>
                <w:rFonts w:ascii="Times New Roman" w:hAnsi="Times New Roman" w:cs="Times New Roman"/>
                <w:u w:color="FF0000"/>
              </w:rPr>
              <w:t>акт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2025 оценка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2026 прогноз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2027 прогноз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2028</w:t>
            </w:r>
          </w:p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прогноз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2206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Среднегодовая численность постоянного населения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23 977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23 916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23 868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23 817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23 766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23 715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742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38.1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Численность населения на начало года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24 016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23 938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23 894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23 842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23 792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23 740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38.2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Численность роди</w:t>
            </w:r>
            <w:r w:rsidRPr="00B969D7">
              <w:rPr>
                <w:rFonts w:ascii="Times New Roman" w:hAnsi="Times New Roman" w:cs="Times New Roman"/>
                <w:u w:color="FF0000"/>
              </w:rPr>
              <w:t>вшихся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232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206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210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214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218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221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38.3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Численность умерших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375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350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362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370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378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382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38.4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Естественный прирост (+),убыль(-)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-143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-144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-152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-156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-160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-161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162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38.5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Численность прибывших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1 488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1 287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1 301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1 321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1 329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1 342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38.6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Численность убывших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1 423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1 192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1 201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1 215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1 221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1 231</w:t>
            </w:r>
          </w:p>
        </w:tc>
      </w:tr>
      <w:tr w:rsidR="00B969D7" w:rsidRPr="00B969D7" w:rsidTr="00B969D7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33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38.7</w:t>
            </w:r>
          </w:p>
        </w:tc>
        <w:tc>
          <w:tcPr>
            <w:tcW w:w="1252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u w:color="FF0000"/>
              </w:rPr>
            </w:pPr>
            <w:r w:rsidRPr="00B969D7">
              <w:rPr>
                <w:rFonts w:ascii="Times New Roman" w:hAnsi="Times New Roman" w:cs="Times New Roman"/>
                <w:u w:color="FF0000"/>
              </w:rPr>
              <w:t>Миграционный прирост(+),убыль(-)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65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95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100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106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108</w:t>
            </w:r>
          </w:p>
        </w:tc>
        <w:tc>
          <w:tcPr>
            <w:tcW w:w="570" w:type="pct"/>
            <w:shd w:val="solid" w:color="FFFFFF" w:fill="FFFFFF"/>
          </w:tcPr>
          <w:p w:rsidR="00000000" w:rsidRPr="00B969D7" w:rsidRDefault="00B969D7" w:rsidP="00B96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u w:color="FF0000"/>
              </w:rPr>
            </w:pPr>
            <w:r w:rsidRPr="00B969D7">
              <w:rPr>
                <w:rFonts w:ascii="Times New Roman" w:hAnsi="Times New Roman" w:cs="Times New Roman"/>
                <w:b/>
                <w:bCs/>
                <w:u w:color="FF0000"/>
              </w:rPr>
              <w:t>111</w:t>
            </w:r>
          </w:p>
        </w:tc>
      </w:tr>
    </w:tbl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lastRenderedPageBreak/>
        <w:t>IX. Энергосбережение и повышение энергетической эффективности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39. Удельная величина потребления энергетических ресурсов (электрическая и тепловая энергия, вода, прир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одный газ) в многоквартирных домах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Удельная величина потребления энергетических ресурсов: тепловой энергии, холодной и горячей воды установлена как из фактических объемов потребления так и по нормативам, так как часть многоквартирных домов оборудована общ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едомовыми и индивидуальными приборами учета.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Объем потребления электроэнергии установлен согласно показаниям приборов учета.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В 2024 году фактический объем потребления электроэнергии в МКД увеличился по отношению к предыдущему году (74 836 кВт*час). Удель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ная величина потребления электрической энергии на 1 проживающего увеличилась на 7%.  В прогнозируемом периоде учтены фактические показатели за 2024 год.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drawing>
          <wp:inline distT="0" distB="0" distL="0" distR="0">
            <wp:extent cx="6082665" cy="163766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39.2.  тепловая энергия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ab/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Показатель потребления тепловой энергии,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 Гкал на 1 кв. метр общей площади сохранился на уровне предыдущего периода и составил 0,31 на 1 кв. метр. Около половины МКД оборудованы общедомовыми или индивидуальными приборами учета ресурса и учитывается фактическое потребление теплоэнергии.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Прогнозиру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емые показатели на 2025-2027 годы рассчитаны на уровне предыдущего периода. Увеличение тепловых мощностей и количества потребителей данного ресурса не планируется.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drawing>
          <wp:inline distT="0" distB="0" distL="0" distR="0">
            <wp:extent cx="6082665" cy="151892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39.3.  горячая вода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Объем потребления ресурса установле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н как из фактического потребления согласно показаниям общедомовых и индивидуальных приборов учета ресурса, так и по нормативам потребления и зависит от потребностей и количества проживающих.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В текущем периоде значение показателя практически не изменилось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(увеличение на 0,01 куб.м) и составило 13,2 куб. метра на одного проживающего человека в год. В прогнозируемом периоде потребление запланировано на уровне предыдущего периода.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drawing>
          <wp:inline distT="0" distB="0" distL="0" distR="0">
            <wp:extent cx="6082665" cy="16776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39.4.  холодная вода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Объем потребления ресу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рса установлен из фактического потребления согласно показаниям общедомовых и индивидуальных приборов учета ресурса и зависит от потребностей проживающих. </w:t>
      </w: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В прогнозируемом периоде 2025-2027 годов значение показателя запланировано на уровне фактического за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2024 год.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drawing>
          <wp:inline distT="0" distB="0" distL="0" distR="0">
            <wp:extent cx="6082665" cy="16617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39.5.  природный газ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4"/>
          <w:szCs w:val="24"/>
          <w:u w:color="FF0000"/>
        </w:rPr>
        <w:tab/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Показатели удельной величины потребления природного газа равны "0", так как в районе отсутствует инфраструктура.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40. Удельная величина потребления энергетических ресурсов (электрическая и тепло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 xml:space="preserve">вая энергия, вода, природный газ) 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lastRenderedPageBreak/>
        <w:t>муниципальными бюджетными учреждениями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Объем потребления энергетических ресурсов определен по показаниям приборов учета соответствующих ресурсов.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40.1 электрическая энергия: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Фактическое потребленной электроэнергии муници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пальными учреждениями в 2024 году осталось на уровне предыдущего 2023 года. Среднегодовая численность населения района за 2024 год сократилась на 61 человека и составила 23916 человек, что повлияло на увеличение показателя удельного потребления электрическ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ой энергии (рост показателя на 0,3%).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Снижение объемов потребления электроэнергии в муниципальных бюджетных учреждениях достигнуто за счет следующих мероприятий: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- Замены ламп накаливания на более экономичные источники освещения;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- Исключение использова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ния электрообогревательных приборов для целей отопления; </w:t>
      </w:r>
    </w:p>
    <w:p w:rsidR="00000000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- Установка энергосберегающих насосов в системах отопления.</w:t>
      </w:r>
    </w:p>
    <w:p w:rsidR="00B969D7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drawing>
          <wp:inline distT="0" distB="0" distL="0" distR="0">
            <wp:extent cx="6106795" cy="1741170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40.2 тепловая энергия: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Объем потребленной тепловой энергии муниципальными бюджетными учреждениями в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2024 году фактически сохранился на уровне предыдущего периода. Удельная величина потребления тепловой энергии муниципальными бюджетными учреждениями не изменилась и составила 0,15 Гкал на 1 м2 общей площади.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lastRenderedPageBreak/>
        <w:drawing>
          <wp:inline distT="0" distB="0" distL="0" distR="0">
            <wp:extent cx="6106795" cy="1621790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40.3 вода горячая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Удельная величина потребления горячей воды сохранилось на уровне предыдущего периода. Общее потребление горячей воды бюджетными учреждениями в 2024 году незначительно сократилось -  на 0,33 куб.м. и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составило 1 356,23 куб. м. 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drawing>
          <wp:inline distT="0" distB="0" distL="0" distR="0">
            <wp:extent cx="6106795" cy="1637665"/>
            <wp:effectExtent l="0" t="0" r="825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40.4 вода холодная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: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Показатель удельной величин потребления холодной воды сохранился на ровне предыдущего года и составил 0,8 куб.м. Фактический объем потребления холодной воды по отношению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в предыдущему году вырос на 2,56 куб.м. и составил 19094,56 куб.м.</w:t>
      </w:r>
    </w:p>
    <w:p w:rsidR="00000000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noProof/>
          <w:u w:color="FF0000"/>
        </w:rPr>
        <w:drawing>
          <wp:inline distT="0" distB="0" distL="0" distR="0">
            <wp:extent cx="6106795" cy="1621790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9D7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40.5 природный газ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>Показатели удельной величины потребления природного газа равны "0", так как в районе отсутствует инфраструктура, газ не используетс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я.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X. Независимая оценка</w:t>
      </w: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u w:color="FF0000"/>
        </w:rPr>
      </w:pP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41.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 xml:space="preserve"> информационно-телекоммуникационной сети 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«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Интернет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») (</w:t>
      </w:r>
      <w:r w:rsidRPr="00B969D7">
        <w:rPr>
          <w:rFonts w:ascii="Times New Roman" w:hAnsi="Times New Roman" w:cs="Times New Roman"/>
          <w:b/>
          <w:bCs/>
          <w:sz w:val="28"/>
          <w:szCs w:val="28"/>
          <w:u w:color="FF0000"/>
        </w:rPr>
        <w:t>при наличии)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bookmarkStart w:id="0" w:name="_GoBack"/>
      <w:bookmarkEnd w:id="0"/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B969D7">
        <w:rPr>
          <w:rFonts w:ascii="Times New Roman" w:hAnsi="Times New Roman" w:cs="Times New Roman"/>
          <w:sz w:val="28"/>
          <w:szCs w:val="28"/>
          <w:u w:color="FF0000"/>
        </w:rPr>
        <w:t xml:space="preserve">В 2024 году 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независимая оценка качества условий оказания услуг муниципальными организациями в сферах культуры и образования Минусинского района не проводилас</w:t>
      </w:r>
      <w:r w:rsidRPr="00B969D7">
        <w:rPr>
          <w:rFonts w:ascii="Times New Roman" w:hAnsi="Times New Roman" w:cs="Times New Roman"/>
          <w:sz w:val="28"/>
          <w:szCs w:val="28"/>
          <w:u w:color="FF0000"/>
        </w:rPr>
        <w:t>ь.</w:t>
      </w: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000000" w:rsidRPr="00B969D7" w:rsidRDefault="00B969D7" w:rsidP="00B969D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p w:rsidR="00000000" w:rsidRPr="00B969D7" w:rsidRDefault="00B969D7" w:rsidP="00B969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FF0000"/>
        </w:rPr>
      </w:pPr>
    </w:p>
    <w:sectPr w:rsidR="00000000" w:rsidRPr="00B969D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A66DB"/>
    <w:multiLevelType w:val="singleLevel"/>
    <w:tmpl w:val="396666D8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hint="default"/>
      </w:rPr>
    </w:lvl>
  </w:abstractNum>
  <w:abstractNum w:abstractNumId="1">
    <w:nsid w:val="76295A35"/>
    <w:multiLevelType w:val="singleLevel"/>
    <w:tmpl w:val="396666D8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D7"/>
    <w:rsid w:val="00B9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9045</Words>
  <Characters>51562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shvarckova</dc:creator>
  <cp:lastModifiedBy>shvarckova</cp:lastModifiedBy>
  <cp:revision>2</cp:revision>
  <dcterms:created xsi:type="dcterms:W3CDTF">2025-04-30T03:14:00Z</dcterms:created>
  <dcterms:modified xsi:type="dcterms:W3CDTF">2025-04-30T03:14:00Z</dcterms:modified>
</cp:coreProperties>
</file>