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A5B" w:rsidRDefault="00F277BD" w:rsidP="005E07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47675" cy="561975"/>
            <wp:effectExtent l="0" t="0" r="9525" b="9525"/>
            <wp:docPr id="1" name="Рисунок 1" descr="C:\Users\markov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kov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A5B" w:rsidRDefault="00EB5520" w:rsidP="005E077D">
      <w:pPr>
        <w:jc w:val="center"/>
        <w:rPr>
          <w:sz w:val="2"/>
          <w:szCs w:val="2"/>
        </w:rPr>
        <w:sectPr w:rsidR="00333A5B" w:rsidSect="00A41DF4">
          <w:type w:val="continuous"/>
          <w:pgSz w:w="11909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</w:t>
      </w:r>
      <w:r w:rsidR="001F49A2">
        <w:rPr>
          <w:sz w:val="2"/>
          <w:szCs w:val="2"/>
        </w:rPr>
        <w:t xml:space="preserve"> </w:t>
      </w:r>
    </w:p>
    <w:p w:rsidR="005E077D" w:rsidRDefault="005E077D">
      <w:pPr>
        <w:pStyle w:val="21"/>
        <w:shd w:val="clear" w:color="auto" w:fill="auto"/>
        <w:spacing w:line="322" w:lineRule="exact"/>
        <w:jc w:val="left"/>
      </w:pPr>
    </w:p>
    <w:p w:rsidR="005E077D" w:rsidRPr="005E077D" w:rsidRDefault="005E077D" w:rsidP="005E077D">
      <w:pPr>
        <w:keepNext/>
        <w:widowControl/>
        <w:jc w:val="center"/>
        <w:outlineLvl w:val="3"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  <w:r w:rsidRPr="005E077D"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  <w:t>МИНУСИНСКИЙ РАЙОННЫЙ СОВЕТ ДЕПУТАТОВ</w:t>
      </w:r>
    </w:p>
    <w:p w:rsidR="005E077D" w:rsidRPr="005E077D" w:rsidRDefault="005E077D" w:rsidP="005E077D">
      <w:pPr>
        <w:keepNext/>
        <w:widowControl/>
        <w:ind w:left="708"/>
        <w:jc w:val="center"/>
        <w:outlineLvl w:val="3"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  <w:r w:rsidRPr="005E077D"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  <w:t>КРАСНОЯРСКОГО КРАЯ</w:t>
      </w:r>
    </w:p>
    <w:p w:rsidR="005E077D" w:rsidRPr="005E077D" w:rsidRDefault="005E077D" w:rsidP="005E077D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E077D" w:rsidRPr="005E077D" w:rsidRDefault="005E077D" w:rsidP="005E077D">
      <w:pPr>
        <w:keepNext/>
        <w:widowControl/>
        <w:jc w:val="center"/>
        <w:outlineLvl w:val="4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r w:rsidRPr="005E077D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Р Е Ш Е Н И Е</w:t>
      </w:r>
    </w:p>
    <w:p w:rsidR="005E077D" w:rsidRPr="005E077D" w:rsidRDefault="005E077D" w:rsidP="005E077D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E077D" w:rsidRPr="005E077D" w:rsidRDefault="00E93AE4" w:rsidP="0047495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</w:t>
      </w:r>
      <w:r w:rsidR="005E077D" w:rsidRPr="005E0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</w:t>
      </w:r>
      <w:r w:rsidR="0047495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</w:t>
      </w:r>
      <w:r w:rsidR="005E077D" w:rsidRPr="005E0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Минусинск</w:t>
      </w:r>
      <w:r w:rsidR="005E077D" w:rsidRPr="005E077D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           </w:t>
      </w:r>
      <w:r w:rsidR="00474958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="005E077D" w:rsidRPr="005E0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-рс</w:t>
      </w:r>
    </w:p>
    <w:p w:rsidR="005E077D" w:rsidRDefault="005E077D">
      <w:pPr>
        <w:pStyle w:val="21"/>
        <w:shd w:val="clear" w:color="auto" w:fill="auto"/>
        <w:spacing w:line="322" w:lineRule="exact"/>
        <w:jc w:val="left"/>
      </w:pPr>
    </w:p>
    <w:p w:rsidR="005E077D" w:rsidRDefault="005E077D">
      <w:pPr>
        <w:pStyle w:val="21"/>
        <w:shd w:val="clear" w:color="auto" w:fill="auto"/>
        <w:spacing w:line="322" w:lineRule="exact"/>
        <w:jc w:val="left"/>
      </w:pPr>
    </w:p>
    <w:p w:rsidR="00333A5B" w:rsidRDefault="00F277BD" w:rsidP="005E077D">
      <w:pPr>
        <w:pStyle w:val="21"/>
        <w:shd w:val="clear" w:color="auto" w:fill="auto"/>
        <w:spacing w:line="322" w:lineRule="exact"/>
      </w:pPr>
      <w:r>
        <w:t>О внесении изменений в решение Минусинского районного Совета депутатов от 08.11.2021 № 97-рс «Об утверждении положения о порядке выплаты пенсии за выслугу лет лицам, замещавшим должности муниципальной службы в Минусинском районе»</w:t>
      </w:r>
    </w:p>
    <w:p w:rsidR="005E077D" w:rsidRDefault="005E077D">
      <w:pPr>
        <w:pStyle w:val="21"/>
        <w:shd w:val="clear" w:color="auto" w:fill="auto"/>
        <w:spacing w:line="322" w:lineRule="exact"/>
        <w:jc w:val="left"/>
      </w:pPr>
    </w:p>
    <w:p w:rsidR="002E2E26" w:rsidRDefault="002E2E26">
      <w:pPr>
        <w:pStyle w:val="21"/>
        <w:shd w:val="clear" w:color="auto" w:fill="auto"/>
        <w:spacing w:line="322" w:lineRule="exact"/>
        <w:jc w:val="left"/>
      </w:pPr>
    </w:p>
    <w:p w:rsidR="00333A5B" w:rsidRDefault="00F277BD" w:rsidP="004F6BEA">
      <w:pPr>
        <w:pStyle w:val="21"/>
        <w:shd w:val="clear" w:color="auto" w:fill="auto"/>
        <w:spacing w:line="240" w:lineRule="auto"/>
        <w:ind w:firstLine="709"/>
      </w:pPr>
      <w:r>
        <w:t>В соответствии со статьями 23, 24 Федерального закона от 02.03.2007 № 25-ФЗ «О муниципальной службе в Российской Федерации», статьями 3, 9, 10, 14 Закона Кра</w:t>
      </w:r>
      <w:r w:rsidR="00B15CDE">
        <w:t xml:space="preserve">сноярского края от 24.04.2008 </w:t>
      </w:r>
      <w:r>
        <w:t xml:space="preserve"> № 5-1565 «Об особенностях правового регулирования муниципальной службы в Красноярском крае» в целях реализации социальных гарантий, предусмотренных законодательством для муниципальных служащих, руководствуясь статьей 21 Устава Минусинского района Красноярского края, Минусинский районный Совет депутатов,</w:t>
      </w:r>
      <w:r w:rsidR="005E077D">
        <w:t xml:space="preserve"> </w:t>
      </w:r>
      <w:r>
        <w:t>РЕШИЛ:</w:t>
      </w:r>
    </w:p>
    <w:p w:rsidR="00333A5B" w:rsidRDefault="00F277BD" w:rsidP="004F6BEA">
      <w:pPr>
        <w:pStyle w:val="21"/>
        <w:numPr>
          <w:ilvl w:val="0"/>
          <w:numId w:val="1"/>
        </w:numPr>
        <w:shd w:val="clear" w:color="auto" w:fill="auto"/>
        <w:tabs>
          <w:tab w:val="left" w:pos="1149"/>
        </w:tabs>
        <w:spacing w:line="240" w:lineRule="auto"/>
        <w:ind w:firstLine="709"/>
      </w:pPr>
      <w:r>
        <w:t>Внести в решение Минусинского районного Совета депутатов от 08.11.2021 № 97-рс «Об утверждении положения о порядке выплаты пенсии за выслугу лет лицам, замещавшим должности муниципальной службы в Минусинском районе» следующие изменения:</w:t>
      </w:r>
    </w:p>
    <w:p w:rsidR="00E93AE4" w:rsidRDefault="00E93AE4" w:rsidP="004F6BEA">
      <w:pPr>
        <w:pStyle w:val="21"/>
        <w:numPr>
          <w:ilvl w:val="1"/>
          <w:numId w:val="1"/>
        </w:numPr>
        <w:shd w:val="clear" w:color="auto" w:fill="auto"/>
        <w:tabs>
          <w:tab w:val="left" w:pos="1149"/>
        </w:tabs>
        <w:spacing w:line="240" w:lineRule="auto"/>
        <w:ind w:firstLine="709"/>
      </w:pPr>
      <w:r>
        <w:t>Пункт 2.9. раздела 2 «Размер пенсии за выслугу лет</w:t>
      </w:r>
      <w:r w:rsidR="004F6BEA">
        <w:t>» изложить в следующей редакции:</w:t>
      </w:r>
    </w:p>
    <w:p w:rsidR="004F6BEA" w:rsidRPr="00A41DF4" w:rsidRDefault="004F6BEA" w:rsidP="004F6BEA">
      <w:pPr>
        <w:pStyle w:val="21"/>
        <w:shd w:val="clear" w:color="auto" w:fill="auto"/>
        <w:spacing w:line="322" w:lineRule="exact"/>
        <w:ind w:firstLine="709"/>
        <w:jc w:val="left"/>
      </w:pPr>
      <w:r>
        <w:t xml:space="preserve">« 2.9. </w:t>
      </w:r>
      <w:r w:rsidRPr="00A41DF4">
        <w:t>Размер пенсии за выслугу лет не может быть ниже:</w:t>
      </w:r>
    </w:p>
    <w:p w:rsidR="004F6BEA" w:rsidRPr="00A41DF4" w:rsidRDefault="00D71956" w:rsidP="00D71956">
      <w:pPr>
        <w:pStyle w:val="21"/>
        <w:shd w:val="clear" w:color="auto" w:fill="auto"/>
        <w:tabs>
          <w:tab w:val="left" w:pos="1151"/>
        </w:tabs>
        <w:spacing w:line="322" w:lineRule="exact"/>
        <w:ind w:firstLine="709"/>
      </w:pPr>
      <w:r>
        <w:t xml:space="preserve"> а) </w:t>
      </w:r>
      <w:r w:rsidR="004F6BEA">
        <w:t xml:space="preserve">5 </w:t>
      </w:r>
      <w:r w:rsidR="004F6BEA" w:rsidRPr="00A41DF4">
        <w:t>000 рублей - при наличии у муниципальных служащих стажа муниципальной службы менее 20 лет;</w:t>
      </w:r>
    </w:p>
    <w:p w:rsidR="004F6BEA" w:rsidRPr="00A41DF4" w:rsidRDefault="00D71956" w:rsidP="00D71956">
      <w:pPr>
        <w:pStyle w:val="21"/>
        <w:shd w:val="clear" w:color="auto" w:fill="auto"/>
        <w:tabs>
          <w:tab w:val="left" w:pos="1151"/>
        </w:tabs>
        <w:spacing w:line="322" w:lineRule="exact"/>
        <w:ind w:firstLine="709"/>
      </w:pPr>
      <w:r>
        <w:t xml:space="preserve"> б) </w:t>
      </w:r>
      <w:r w:rsidR="004F6BEA">
        <w:t xml:space="preserve">7 </w:t>
      </w:r>
      <w:r w:rsidR="004F6BEA" w:rsidRPr="00A41DF4">
        <w:t>000 рублей - при наличии у муниципальных служащих стажа муниципальной службы от 20 лет до 30 лет;</w:t>
      </w:r>
    </w:p>
    <w:p w:rsidR="004F6BEA" w:rsidRPr="00A41DF4" w:rsidRDefault="00D71956" w:rsidP="00D71956">
      <w:pPr>
        <w:pStyle w:val="21"/>
        <w:shd w:val="clear" w:color="auto" w:fill="auto"/>
        <w:tabs>
          <w:tab w:val="left" w:pos="1151"/>
        </w:tabs>
        <w:spacing w:line="322" w:lineRule="exact"/>
        <w:ind w:firstLine="709"/>
      </w:pPr>
      <w:r>
        <w:t xml:space="preserve"> в) </w:t>
      </w:r>
      <w:r w:rsidR="004F6BEA">
        <w:t xml:space="preserve">10 </w:t>
      </w:r>
      <w:r w:rsidR="004F6BEA" w:rsidRPr="00A41DF4">
        <w:t>000 рублей - при наличии у муниципальных служащих стажа муниципальной службы 30 и более лет.</w:t>
      </w:r>
    </w:p>
    <w:p w:rsidR="004F6BEA" w:rsidRPr="00A41DF4" w:rsidRDefault="004F6BEA" w:rsidP="004F6BEA">
      <w:pPr>
        <w:pStyle w:val="21"/>
        <w:shd w:val="clear" w:color="auto" w:fill="auto"/>
        <w:spacing w:line="322" w:lineRule="exact"/>
        <w:ind w:firstLine="851"/>
      </w:pPr>
      <w:r w:rsidRPr="00A41DF4">
        <w:t>В случае выплаты пенсии за выслугу лет муниципальному служащему в минимальном размере ограничение по общей сумме пенсии за выслугу лет и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установленное пунктом 2.5. настоящего Положения, не применяется.</w:t>
      </w:r>
      <w:r w:rsidR="00D71956">
        <w:t>».</w:t>
      </w:r>
    </w:p>
    <w:p w:rsidR="004F6BEA" w:rsidRDefault="004F6BEA" w:rsidP="004F6BEA">
      <w:pPr>
        <w:pStyle w:val="21"/>
        <w:shd w:val="clear" w:color="auto" w:fill="auto"/>
        <w:tabs>
          <w:tab w:val="left" w:pos="1149"/>
        </w:tabs>
        <w:spacing w:line="240" w:lineRule="auto"/>
        <w:ind w:left="851"/>
      </w:pPr>
    </w:p>
    <w:p w:rsidR="00333A5B" w:rsidRDefault="004F6BEA" w:rsidP="006A5582">
      <w:pPr>
        <w:pStyle w:val="21"/>
        <w:shd w:val="clear" w:color="auto" w:fill="auto"/>
        <w:tabs>
          <w:tab w:val="left" w:pos="1149"/>
        </w:tabs>
        <w:spacing w:line="240" w:lineRule="auto"/>
        <w:ind w:firstLine="851"/>
      </w:pPr>
      <w:r>
        <w:t>2</w:t>
      </w:r>
      <w:r w:rsidR="006A5582">
        <w:t xml:space="preserve">. </w:t>
      </w:r>
      <w:r w:rsidR="00F277BD">
        <w:t>Контроль за исполнением настоящего решения возложить на постоянную комиссию по вопросам социальной политики (Вайтехович Е.Н.).</w:t>
      </w:r>
    </w:p>
    <w:p w:rsidR="00333A5B" w:rsidRPr="006A5582" w:rsidRDefault="00D71956" w:rsidP="006A5582">
      <w:pPr>
        <w:pStyle w:val="21"/>
        <w:shd w:val="clear" w:color="auto" w:fill="auto"/>
        <w:tabs>
          <w:tab w:val="left" w:pos="1149"/>
        </w:tabs>
        <w:spacing w:line="240" w:lineRule="auto"/>
        <w:ind w:firstLine="851"/>
      </w:pPr>
      <w:r>
        <w:t>3</w:t>
      </w:r>
      <w:r w:rsidR="006A5582" w:rsidRPr="006A5582">
        <w:t xml:space="preserve">. </w:t>
      </w:r>
      <w:r w:rsidR="00F277BD" w:rsidRPr="006A5582">
        <w:t>Решение вступает в силу в день, следующий за днем его официального опубликования в газете «Власть труда», подлежит размещению на официальном сайте администрации Минусинского района в сети «Интернет»</w:t>
      </w:r>
      <w:r w:rsidR="004F6BEA" w:rsidRPr="004F6BEA">
        <w:t xml:space="preserve"> </w:t>
      </w:r>
      <w:r w:rsidR="004F6BEA" w:rsidRPr="009B3144">
        <w:t>в разделе «Структура самоуправления» подраздел «Минусинский райо</w:t>
      </w:r>
      <w:r w:rsidR="004F6BEA">
        <w:t>нный Совет депутатов – НПА»</w:t>
      </w:r>
      <w:r w:rsidR="006A5582" w:rsidRPr="006A5582">
        <w:t xml:space="preserve"> и применяется к правоотношениям</w:t>
      </w:r>
      <w:r w:rsidR="00A41DF4">
        <w:t>,</w:t>
      </w:r>
      <w:r w:rsidR="004F6BEA">
        <w:t xml:space="preserve"> возникшим с 01.01.2025</w:t>
      </w:r>
      <w:r w:rsidR="006A5582" w:rsidRPr="006A5582">
        <w:t>.</w:t>
      </w:r>
    </w:p>
    <w:p w:rsidR="005E077D" w:rsidRDefault="005E077D" w:rsidP="005E077D">
      <w:pPr>
        <w:pStyle w:val="21"/>
        <w:shd w:val="clear" w:color="auto" w:fill="auto"/>
        <w:tabs>
          <w:tab w:val="left" w:pos="1149"/>
        </w:tabs>
        <w:spacing w:line="240" w:lineRule="auto"/>
      </w:pPr>
    </w:p>
    <w:p w:rsidR="004F6BEA" w:rsidRDefault="004F6BEA" w:rsidP="005E077D">
      <w:pPr>
        <w:pStyle w:val="21"/>
        <w:shd w:val="clear" w:color="auto" w:fill="auto"/>
        <w:tabs>
          <w:tab w:val="left" w:pos="1149"/>
        </w:tabs>
        <w:spacing w:line="240" w:lineRule="auto"/>
      </w:pPr>
    </w:p>
    <w:p w:rsidR="00333A5B" w:rsidRDefault="00A41DF4">
      <w:pPr>
        <w:pStyle w:val="21"/>
        <w:shd w:val="clear" w:color="auto" w:fill="auto"/>
        <w:tabs>
          <w:tab w:val="left" w:pos="7373"/>
        </w:tabs>
        <w:spacing w:line="280" w:lineRule="exact"/>
        <w:jc w:val="left"/>
      </w:pPr>
      <w:r>
        <w:t xml:space="preserve">Председатель Совета                                                                  </w:t>
      </w:r>
      <w:r w:rsidR="00FE39F7">
        <w:t xml:space="preserve">  О.В. Рождествова </w:t>
      </w:r>
    </w:p>
    <w:p w:rsidR="005E077D" w:rsidRDefault="005E077D">
      <w:pPr>
        <w:pStyle w:val="21"/>
        <w:shd w:val="clear" w:color="auto" w:fill="auto"/>
        <w:spacing w:line="280" w:lineRule="exact"/>
        <w:jc w:val="left"/>
      </w:pPr>
    </w:p>
    <w:p w:rsidR="00FE39F7" w:rsidRDefault="00FE39F7">
      <w:pPr>
        <w:pStyle w:val="21"/>
        <w:shd w:val="clear" w:color="auto" w:fill="auto"/>
        <w:spacing w:line="280" w:lineRule="exact"/>
        <w:jc w:val="left"/>
      </w:pPr>
    </w:p>
    <w:p w:rsidR="005E077D" w:rsidRDefault="00F277BD" w:rsidP="005E077D">
      <w:pPr>
        <w:pStyle w:val="21"/>
        <w:shd w:val="clear" w:color="auto" w:fill="auto"/>
        <w:spacing w:line="280" w:lineRule="exact"/>
        <w:jc w:val="left"/>
      </w:pPr>
      <w:r>
        <w:t>Г лава района</w:t>
      </w:r>
      <w:r w:rsidR="005E077D">
        <w:rPr>
          <w:rStyle w:val="2"/>
        </w:rPr>
        <w:t xml:space="preserve">                                                                                               </w:t>
      </w:r>
      <w:r w:rsidR="00FE39F7">
        <w:rPr>
          <w:rStyle w:val="2"/>
        </w:rPr>
        <w:t>С.И. Глухов</w:t>
      </w:r>
    </w:p>
    <w:p w:rsidR="00333A5B" w:rsidRDefault="00333A5B">
      <w:pPr>
        <w:pStyle w:val="21"/>
        <w:shd w:val="clear" w:color="auto" w:fill="auto"/>
        <w:spacing w:line="280" w:lineRule="exact"/>
        <w:jc w:val="left"/>
      </w:pPr>
    </w:p>
    <w:p w:rsidR="005E077D" w:rsidRDefault="005E077D">
      <w:pPr>
        <w:pStyle w:val="21"/>
        <w:shd w:val="clear" w:color="auto" w:fill="auto"/>
        <w:spacing w:line="322" w:lineRule="exact"/>
        <w:jc w:val="left"/>
      </w:pPr>
    </w:p>
    <w:p w:rsidR="005E077D" w:rsidRPr="005E077D" w:rsidRDefault="005E077D">
      <w:pPr>
        <w:pStyle w:val="21"/>
        <w:shd w:val="clear" w:color="auto" w:fill="auto"/>
        <w:spacing w:line="322" w:lineRule="exact"/>
        <w:jc w:val="left"/>
      </w:pPr>
    </w:p>
    <w:p w:rsidR="005E077D" w:rsidRPr="005E077D" w:rsidRDefault="005E077D">
      <w:pPr>
        <w:pStyle w:val="21"/>
        <w:shd w:val="clear" w:color="auto" w:fill="auto"/>
        <w:spacing w:line="322" w:lineRule="exact"/>
        <w:jc w:val="left"/>
      </w:pPr>
    </w:p>
    <w:p w:rsidR="00A41DF4" w:rsidRDefault="005E077D" w:rsidP="005E077D">
      <w:pPr>
        <w:pStyle w:val="21"/>
        <w:shd w:val="clear" w:color="auto" w:fill="auto"/>
        <w:spacing w:line="322" w:lineRule="exact"/>
        <w:jc w:val="left"/>
      </w:pPr>
      <w:r>
        <w:t xml:space="preserve">                                                                              </w:t>
      </w: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A41DF4" w:rsidRDefault="00A41DF4" w:rsidP="005E077D">
      <w:pPr>
        <w:pStyle w:val="21"/>
        <w:shd w:val="clear" w:color="auto" w:fill="auto"/>
        <w:spacing w:line="322" w:lineRule="exact"/>
        <w:jc w:val="left"/>
      </w:pPr>
    </w:p>
    <w:p w:rsidR="003C5EA9" w:rsidRDefault="003C5EA9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</w:p>
    <w:p w:rsidR="009B41EA" w:rsidRDefault="009B41EA" w:rsidP="009B41EA">
      <w:pPr>
        <w:pStyle w:val="a7"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725A3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B41EA" w:rsidRDefault="009B41EA" w:rsidP="009B41EA">
      <w:pPr>
        <w:pStyle w:val="21"/>
        <w:shd w:val="clear" w:color="auto" w:fill="auto"/>
        <w:spacing w:line="322" w:lineRule="exact"/>
      </w:pPr>
      <w:r w:rsidRPr="00183351">
        <w:t xml:space="preserve">к проекту решения </w:t>
      </w:r>
      <w:r>
        <w:t>о</w:t>
      </w:r>
      <w:r w:rsidRPr="00B5368D">
        <w:t>б утверждении Положения</w:t>
      </w:r>
      <w:r w:rsidRPr="000C3388">
        <w:t xml:space="preserve"> </w:t>
      </w:r>
      <w:r>
        <w:t>«О внесении изменений в решение Минусинского районного Совета депутатов от 08.11.2021 № 97-рс «Об утверждении положения о порядке выплаты пенсии за выслугу лет лицам, замещавшим должности муниципальной службы в Минусинском районе»</w:t>
      </w:r>
    </w:p>
    <w:p w:rsidR="009B41EA" w:rsidRPr="00183351" w:rsidRDefault="009B41EA" w:rsidP="009B41EA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6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1EA" w:rsidRPr="006A6279" w:rsidRDefault="009B41EA" w:rsidP="009B41E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6279">
        <w:rPr>
          <w:sz w:val="28"/>
          <w:szCs w:val="28"/>
        </w:rPr>
        <w:t>В соответствии со статьей 5 Фед</w:t>
      </w:r>
      <w:r>
        <w:rPr>
          <w:sz w:val="28"/>
          <w:szCs w:val="28"/>
        </w:rPr>
        <w:t>ерального закона от 15.12.2001 № 166-ФЗ «</w:t>
      </w:r>
      <w:r w:rsidRPr="006A6279">
        <w:rPr>
          <w:sz w:val="28"/>
          <w:szCs w:val="28"/>
        </w:rPr>
        <w:t>О государственном пенсионном обе</w:t>
      </w:r>
      <w:r>
        <w:rPr>
          <w:sz w:val="28"/>
          <w:szCs w:val="28"/>
        </w:rPr>
        <w:t>спечении в Российской Федерации» (далее - № 166-ФЗ)</w:t>
      </w:r>
      <w:r w:rsidRPr="006A6279">
        <w:rPr>
          <w:sz w:val="28"/>
          <w:szCs w:val="28"/>
        </w:rPr>
        <w:t xml:space="preserve"> к видам пенсий по государственному пенсионному обеспечению относится пенсия за выслугу лет.</w:t>
      </w:r>
    </w:p>
    <w:p w:rsidR="009B41EA" w:rsidRDefault="009B41EA" w:rsidP="009B41E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6279">
        <w:rPr>
          <w:sz w:val="28"/>
          <w:szCs w:val="28"/>
        </w:rPr>
        <w:t>Согласно пункту 4</w:t>
      </w:r>
      <w:r>
        <w:rPr>
          <w:sz w:val="28"/>
          <w:szCs w:val="28"/>
        </w:rPr>
        <w:t xml:space="preserve"> статьи 7 Федерального </w:t>
      </w:r>
      <w:r w:rsidRPr="00501811">
        <w:rPr>
          <w:sz w:val="28"/>
          <w:szCs w:val="28"/>
        </w:rPr>
        <w:t>закона № 166-ФЗ условия предоставления права на пенсию муниципальным служащим за счет средств</w:t>
      </w:r>
      <w:r w:rsidRPr="006A6279">
        <w:rPr>
          <w:sz w:val="28"/>
          <w:szCs w:val="28"/>
        </w:rPr>
        <w:t xml:space="preserve"> местных бюджетов определяются </w:t>
      </w:r>
      <w:r>
        <w:rPr>
          <w:sz w:val="28"/>
          <w:szCs w:val="28"/>
        </w:rPr>
        <w:t>нормативными правовыми</w:t>
      </w:r>
      <w:r w:rsidRPr="006A6279">
        <w:rPr>
          <w:sz w:val="28"/>
          <w:szCs w:val="28"/>
        </w:rPr>
        <w:t xml:space="preserve"> актами органов местного самоуправления. При этом муниципальные служащие имеют право на пенсию за выслугу лет, устанавливаемую к страховой пенсии по старости (инвалидности), назначенной в соответствии с Фед</w:t>
      </w:r>
      <w:r>
        <w:rPr>
          <w:sz w:val="28"/>
          <w:szCs w:val="28"/>
        </w:rPr>
        <w:t>еральным законом от 28.12.2013 № 400-ФЗ «О страховых пенсиях»</w:t>
      </w:r>
      <w:r w:rsidRPr="006A6279">
        <w:rPr>
          <w:sz w:val="28"/>
          <w:szCs w:val="28"/>
        </w:rPr>
        <w:t xml:space="preserve"> </w:t>
      </w:r>
      <w:r>
        <w:rPr>
          <w:sz w:val="28"/>
          <w:szCs w:val="28"/>
        </w:rPr>
        <w:t>при наличии</w:t>
      </w:r>
      <w:r w:rsidRPr="006A6279">
        <w:rPr>
          <w:sz w:val="28"/>
          <w:szCs w:val="28"/>
        </w:rPr>
        <w:t xml:space="preserve"> стажа муниципальной службы.</w:t>
      </w:r>
    </w:p>
    <w:p w:rsidR="009B41EA" w:rsidRDefault="009B41EA" w:rsidP="009B41E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Учитывая, что размер пенсии за выслугу лет лицам, замешавшим должности муниципальной службы в Минусинском районе не индексировался с 2021 года, настоящим проектом решения предлагается установить с 01.01.2025 года  размер пенсии за выслугу лет муниципальным служащим не ниже:</w:t>
      </w:r>
    </w:p>
    <w:p w:rsidR="009B41EA" w:rsidRPr="00EA05AC" w:rsidRDefault="009B41EA" w:rsidP="009B41EA">
      <w:pPr>
        <w:tabs>
          <w:tab w:val="left" w:pos="1151"/>
        </w:tabs>
        <w:spacing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EA05AC">
        <w:rPr>
          <w:rFonts w:ascii="Times New Roman" w:eastAsia="Times New Roman" w:hAnsi="Times New Roman" w:cs="Times New Roman"/>
          <w:sz w:val="28"/>
          <w:szCs w:val="28"/>
        </w:rPr>
        <w:t>5 000 рублей - при наличии у муниципальных служащих стажа муниципальной службы менее 20 лет;</w:t>
      </w:r>
    </w:p>
    <w:p w:rsidR="009B41EA" w:rsidRPr="00EA05AC" w:rsidRDefault="009B41EA" w:rsidP="009B41EA">
      <w:pPr>
        <w:tabs>
          <w:tab w:val="left" w:pos="1151"/>
        </w:tabs>
        <w:spacing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5AC">
        <w:rPr>
          <w:rFonts w:ascii="Times New Roman" w:eastAsia="Times New Roman" w:hAnsi="Times New Roman" w:cs="Times New Roman"/>
          <w:sz w:val="28"/>
          <w:szCs w:val="28"/>
        </w:rPr>
        <w:t xml:space="preserve"> б) 7 000 рублей - при наличии у муниципальных служащих стажа муниципальной службы от 20 лет до 30 лет;</w:t>
      </w:r>
    </w:p>
    <w:p w:rsidR="009B41EA" w:rsidRPr="00EA05AC" w:rsidRDefault="009B41EA" w:rsidP="009B41EA">
      <w:pPr>
        <w:tabs>
          <w:tab w:val="left" w:pos="1151"/>
        </w:tabs>
        <w:spacing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5AC">
        <w:rPr>
          <w:rFonts w:ascii="Times New Roman" w:eastAsia="Times New Roman" w:hAnsi="Times New Roman" w:cs="Times New Roman"/>
          <w:sz w:val="28"/>
          <w:szCs w:val="28"/>
        </w:rPr>
        <w:t xml:space="preserve"> в) 10 000 рублей - при наличии у муниципальных служащих стажа муниципальной службы 30 и более лет.</w:t>
      </w:r>
    </w:p>
    <w:p w:rsidR="009B41EA" w:rsidRPr="00EA05AC" w:rsidRDefault="009B41EA" w:rsidP="009B41E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05AC">
        <w:rPr>
          <w:sz w:val="28"/>
          <w:szCs w:val="28"/>
          <w:shd w:val="clear" w:color="auto" w:fill="FFFFFF"/>
        </w:rPr>
        <w:t>Увеличение размера пенсии за выслугу лет муниципальным служащим в 2025 году является важным фактором, влияющим на размер и стабильность пенсионного дохода работников органов местного самоуправления</w:t>
      </w:r>
      <w:r>
        <w:rPr>
          <w:sz w:val="28"/>
          <w:szCs w:val="28"/>
          <w:shd w:val="clear" w:color="auto" w:fill="FFFFFF"/>
        </w:rPr>
        <w:t xml:space="preserve"> Минусинского ра</w:t>
      </w:r>
      <w:r w:rsidRPr="00EA05AC">
        <w:rPr>
          <w:sz w:val="28"/>
          <w:szCs w:val="28"/>
          <w:shd w:val="clear" w:color="auto" w:fill="FFFFFF"/>
        </w:rPr>
        <w:t>йона.</w:t>
      </w:r>
    </w:p>
    <w:p w:rsidR="009B41EA" w:rsidRPr="000C3388" w:rsidRDefault="009B41EA" w:rsidP="009B41EA">
      <w:pPr>
        <w:pStyle w:val="21"/>
        <w:shd w:val="clear" w:color="auto" w:fill="auto"/>
        <w:spacing w:line="322" w:lineRule="exact"/>
        <w:ind w:firstLine="851"/>
      </w:pPr>
      <w:r>
        <w:t xml:space="preserve">Средства на увеличение размера пенсии за выслугу лет предусматриваются за счет  бюджета Минусинского района.  </w:t>
      </w:r>
    </w:p>
    <w:p w:rsidR="009B41EA" w:rsidRDefault="009B41EA" w:rsidP="009B41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1EA" w:rsidRDefault="009B41EA" w:rsidP="009B41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B41EA" w:rsidRDefault="009B41EA" w:rsidP="009B41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B41EA" w:rsidRDefault="009B41EA" w:rsidP="009B41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по экономике – </w:t>
      </w:r>
    </w:p>
    <w:p w:rsidR="009B41EA" w:rsidRPr="008D0347" w:rsidRDefault="009B41EA" w:rsidP="009B41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D0347">
        <w:rPr>
          <w:rFonts w:ascii="Times New Roman" w:hAnsi="Times New Roman" w:cs="Times New Roman"/>
          <w:sz w:val="28"/>
          <w:szCs w:val="28"/>
        </w:rPr>
        <w:t xml:space="preserve"> О.А. Бутенко</w:t>
      </w:r>
    </w:p>
    <w:p w:rsidR="009B41EA" w:rsidRDefault="009B41EA" w:rsidP="003C5EA9">
      <w:pPr>
        <w:pStyle w:val="21"/>
        <w:shd w:val="clear" w:color="auto" w:fill="auto"/>
        <w:tabs>
          <w:tab w:val="left" w:pos="518"/>
        </w:tabs>
        <w:spacing w:line="322" w:lineRule="exact"/>
        <w:ind w:left="851"/>
      </w:pPr>
      <w:bookmarkStart w:id="0" w:name="_GoBack"/>
      <w:bookmarkEnd w:id="0"/>
    </w:p>
    <w:sectPr w:rsidR="009B41EA" w:rsidSect="00A41DF4">
      <w:type w:val="continuous"/>
      <w:pgSz w:w="11909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79A" w:rsidRDefault="0060579A">
      <w:r>
        <w:separator/>
      </w:r>
    </w:p>
  </w:endnote>
  <w:endnote w:type="continuationSeparator" w:id="0">
    <w:p w:rsidR="0060579A" w:rsidRDefault="0060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79A" w:rsidRDefault="0060579A"/>
  </w:footnote>
  <w:footnote w:type="continuationSeparator" w:id="0">
    <w:p w:rsidR="0060579A" w:rsidRDefault="0060579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62982"/>
    <w:multiLevelType w:val="multilevel"/>
    <w:tmpl w:val="2C0E6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D84A78"/>
    <w:multiLevelType w:val="multilevel"/>
    <w:tmpl w:val="4E7C4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A5B"/>
    <w:rsid w:val="001855ED"/>
    <w:rsid w:val="001F49A2"/>
    <w:rsid w:val="00260FFB"/>
    <w:rsid w:val="002E2E26"/>
    <w:rsid w:val="00333A5B"/>
    <w:rsid w:val="0035167D"/>
    <w:rsid w:val="00363D3B"/>
    <w:rsid w:val="003A04FA"/>
    <w:rsid w:val="003B2F02"/>
    <w:rsid w:val="003C5EA9"/>
    <w:rsid w:val="003D67ED"/>
    <w:rsid w:val="00463E1F"/>
    <w:rsid w:val="00474958"/>
    <w:rsid w:val="004B09C6"/>
    <w:rsid w:val="004F6BEA"/>
    <w:rsid w:val="005577FE"/>
    <w:rsid w:val="005C0A89"/>
    <w:rsid w:val="005E077D"/>
    <w:rsid w:val="005E35BA"/>
    <w:rsid w:val="0060579A"/>
    <w:rsid w:val="00673B9B"/>
    <w:rsid w:val="006A5582"/>
    <w:rsid w:val="00771E6C"/>
    <w:rsid w:val="00787FEB"/>
    <w:rsid w:val="007C1713"/>
    <w:rsid w:val="00815188"/>
    <w:rsid w:val="009B41EA"/>
    <w:rsid w:val="00A41DF4"/>
    <w:rsid w:val="00A92EAE"/>
    <w:rsid w:val="00AB7ADF"/>
    <w:rsid w:val="00B15CDE"/>
    <w:rsid w:val="00B72518"/>
    <w:rsid w:val="00B74931"/>
    <w:rsid w:val="00BC486F"/>
    <w:rsid w:val="00C76EB2"/>
    <w:rsid w:val="00C93F4C"/>
    <w:rsid w:val="00CE1C95"/>
    <w:rsid w:val="00D36A4D"/>
    <w:rsid w:val="00D71956"/>
    <w:rsid w:val="00DC1D77"/>
    <w:rsid w:val="00E93AE4"/>
    <w:rsid w:val="00EB5520"/>
    <w:rsid w:val="00F277BD"/>
    <w:rsid w:val="00F30773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4B773-E477-45E0-AA65-4ADC894A3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E07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77D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1855E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B41E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8">
    <w:name w:val="Body Text Indent"/>
    <w:basedOn w:val="a"/>
    <w:link w:val="a9"/>
    <w:uiPriority w:val="99"/>
    <w:semiHidden/>
    <w:unhideWhenUsed/>
    <w:rsid w:val="009B41EA"/>
    <w:pPr>
      <w:widowControl/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B41EA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a">
    <w:name w:val="Normal (Web)"/>
    <w:basedOn w:val="a"/>
    <w:uiPriority w:val="99"/>
    <w:semiHidden/>
    <w:unhideWhenUsed/>
    <w:rsid w:val="009B41E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markova</dc:creator>
  <cp:lastModifiedBy>Админ</cp:lastModifiedBy>
  <cp:revision>46</cp:revision>
  <cp:lastPrinted>2023-06-09T08:17:00Z</cp:lastPrinted>
  <dcterms:created xsi:type="dcterms:W3CDTF">2023-06-06T09:30:00Z</dcterms:created>
  <dcterms:modified xsi:type="dcterms:W3CDTF">2024-12-18T06:43:00Z</dcterms:modified>
</cp:coreProperties>
</file>