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79" w:rsidRDefault="001E1B79" w:rsidP="001E1B79">
      <w:pPr>
        <w:keepNext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191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0" t="-117" r="-150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B79" w:rsidRDefault="001E1B79" w:rsidP="001E1B79">
      <w:pPr>
        <w:keepNext/>
        <w:jc w:val="center"/>
        <w:rPr>
          <w:noProof/>
          <w:lang w:eastAsia="ru-RU"/>
        </w:rPr>
      </w:pPr>
    </w:p>
    <w:p w:rsidR="001E1B79" w:rsidRPr="001A76CE" w:rsidRDefault="001E1B79" w:rsidP="001E1B79">
      <w:pPr>
        <w:keepNext/>
        <w:jc w:val="center"/>
      </w:pPr>
      <w:r w:rsidRPr="001A76CE">
        <w:rPr>
          <w:sz w:val="32"/>
          <w:szCs w:val="28"/>
          <w:lang w:eastAsia="ru-RU"/>
        </w:rPr>
        <w:t>АДМИНИСТРАЦИЯ МИНУСИНСКОГО РАЙОНА</w:t>
      </w:r>
    </w:p>
    <w:p w:rsidR="001E1B79" w:rsidRDefault="001E1B79" w:rsidP="001E1B79">
      <w:pPr>
        <w:keepNext/>
        <w:jc w:val="center"/>
        <w:rPr>
          <w:b/>
          <w:lang w:eastAsia="ru-RU"/>
        </w:rPr>
      </w:pPr>
    </w:p>
    <w:p w:rsidR="001E1B79" w:rsidRPr="00943DB6" w:rsidRDefault="001E1B79" w:rsidP="001E1B79">
      <w:pPr>
        <w:keepNext/>
        <w:jc w:val="center"/>
        <w:rPr>
          <w:b/>
        </w:rPr>
      </w:pPr>
      <w:r w:rsidRPr="00943DB6">
        <w:rPr>
          <w:b/>
          <w:sz w:val="48"/>
          <w:szCs w:val="48"/>
          <w:lang w:eastAsia="ru-RU"/>
        </w:rPr>
        <w:t>ПОСТАНОВЛЕНИЕ</w:t>
      </w:r>
    </w:p>
    <w:p w:rsidR="001E1B79" w:rsidRDefault="001E1B79" w:rsidP="001E1B79">
      <w:pPr>
        <w:keepNext/>
        <w:jc w:val="center"/>
        <w:rPr>
          <w:b/>
          <w:sz w:val="28"/>
          <w:szCs w:val="28"/>
          <w:lang w:eastAsia="ru-RU"/>
        </w:rPr>
      </w:pPr>
    </w:p>
    <w:p w:rsidR="001E1B79" w:rsidRDefault="00C37BA3" w:rsidP="001E1B79">
      <w:pPr>
        <w:keepNext/>
        <w:autoSpaceDE w:val="0"/>
        <w:ind w:left="120"/>
      </w:pPr>
      <w:r>
        <w:rPr>
          <w:sz w:val="28"/>
          <w:szCs w:val="28"/>
        </w:rPr>
        <w:t>08.11.2024</w:t>
      </w:r>
      <w:r w:rsidR="001E1B79">
        <w:rPr>
          <w:sz w:val="28"/>
          <w:szCs w:val="28"/>
        </w:rPr>
        <w:tab/>
      </w:r>
      <w:r w:rsidR="001E1B79">
        <w:rPr>
          <w:sz w:val="28"/>
          <w:szCs w:val="28"/>
        </w:rPr>
        <w:tab/>
      </w:r>
      <w:r w:rsidR="001E1B79" w:rsidRPr="00282C19">
        <w:tab/>
      </w:r>
      <w:r w:rsidR="001E1B79" w:rsidRPr="00E15BED">
        <w:rPr>
          <w:sz w:val="28"/>
          <w:szCs w:val="28"/>
        </w:rPr>
        <w:t xml:space="preserve">       г. Минусинск</w:t>
      </w:r>
      <w:r w:rsidR="001E1B79" w:rsidRPr="00E15BED">
        <w:rPr>
          <w:sz w:val="28"/>
          <w:szCs w:val="28"/>
        </w:rPr>
        <w:tab/>
      </w:r>
      <w:r w:rsidR="001E1B79" w:rsidRPr="00282C19">
        <w:tab/>
      </w:r>
      <w:r w:rsidR="001E1B79" w:rsidRPr="00282C19">
        <w:tab/>
      </w:r>
      <w:r w:rsidR="001E1B79" w:rsidRPr="00282C19">
        <w:tab/>
      </w:r>
      <w:r w:rsidR="001E1B79">
        <w:t xml:space="preserve">      </w:t>
      </w:r>
      <w:r>
        <w:t>№ 943-п</w:t>
      </w:r>
    </w:p>
    <w:p w:rsidR="001E1B79" w:rsidRDefault="001E1B79" w:rsidP="001E1B79">
      <w:pPr>
        <w:keepNext/>
        <w:autoSpaceDE w:val="0"/>
        <w:ind w:left="120"/>
      </w:pPr>
    </w:p>
    <w:p w:rsidR="001E1B79" w:rsidRDefault="001E1B79" w:rsidP="001E1B79">
      <w:pPr>
        <w:keepNext/>
        <w:autoSpaceDE w:val="0"/>
        <w:ind w:left="120"/>
      </w:pPr>
    </w:p>
    <w:p w:rsidR="001E1B79" w:rsidRDefault="001E1B79" w:rsidP="001E1B79">
      <w:pPr>
        <w:keepNext/>
      </w:pPr>
      <w:r>
        <w:rPr>
          <w:iCs/>
          <w:sz w:val="28"/>
          <w:szCs w:val="28"/>
        </w:rPr>
        <w:t>О внесении изменений в муниципальную программу Минусинского района «Молодежь Минусинского района», утвержденную постановлением администрации Минусинского района от 31.10.2013 № 883-п</w:t>
      </w:r>
      <w:r>
        <w:rPr>
          <w:sz w:val="28"/>
          <w:szCs w:val="28"/>
        </w:rPr>
        <w:t xml:space="preserve"> </w:t>
      </w:r>
    </w:p>
    <w:p w:rsidR="001E1B79" w:rsidRDefault="001E1B79" w:rsidP="001E1B79">
      <w:pPr>
        <w:keepNext/>
        <w:ind w:firstLine="709"/>
        <w:rPr>
          <w:iCs/>
          <w:sz w:val="28"/>
          <w:szCs w:val="28"/>
        </w:rPr>
      </w:pPr>
    </w:p>
    <w:p w:rsidR="001E1B79" w:rsidRDefault="001E1B79" w:rsidP="001E1B79">
      <w:pPr>
        <w:keepNext/>
        <w:ind w:firstLine="709"/>
        <w:rPr>
          <w:iCs/>
          <w:sz w:val="28"/>
          <w:szCs w:val="28"/>
        </w:rPr>
      </w:pPr>
    </w:p>
    <w:p w:rsidR="001E1B79" w:rsidRDefault="001E1B79" w:rsidP="001E1B79">
      <w:pPr>
        <w:keepNext/>
        <w:ind w:firstLine="709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  <w:proofErr w:type="gramEnd"/>
    </w:p>
    <w:p w:rsidR="001E1B79" w:rsidRDefault="001E1B79" w:rsidP="001E1B79">
      <w:pPr>
        <w:keepNext/>
        <w:ind w:firstLine="709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1. Внести изменения в муниципальную программу Минусинского района «Молодежь Минусинского района», утвержденную постановлением администрации Минусинского района от</w:t>
      </w:r>
      <w:r>
        <w:rPr>
          <w:iCs/>
          <w:sz w:val="28"/>
          <w:szCs w:val="28"/>
        </w:rPr>
        <w:t xml:space="preserve"> 31.10.2013 № 883-п,</w:t>
      </w:r>
      <w:r>
        <w:rPr>
          <w:rFonts w:eastAsia="Calibri"/>
          <w:sz w:val="28"/>
          <w:szCs w:val="28"/>
          <w:lang w:eastAsia="zh-CN"/>
        </w:rPr>
        <w:t xml:space="preserve"> изложив в редакции, согласно приложению к настоящему постановлению.</w:t>
      </w:r>
    </w:p>
    <w:p w:rsidR="001E1B79" w:rsidRDefault="001E1B79" w:rsidP="001E1B79">
      <w:pPr>
        <w:keepNext/>
        <w:ind w:firstLine="709"/>
        <w:rPr>
          <w:i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по социальным вопросам Н.В. Ефремову</w:t>
      </w:r>
      <w:r>
        <w:rPr>
          <w:iCs/>
          <w:sz w:val="28"/>
          <w:szCs w:val="28"/>
        </w:rPr>
        <w:t>.</w:t>
      </w:r>
    </w:p>
    <w:p w:rsidR="001E1B79" w:rsidRDefault="001E1B79" w:rsidP="001E1B79">
      <w:pPr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3. Постановление вступает в силу в день, следующий за днем его  официального опубликования в газете «Власть труда» и подлежит размещению на официальном сайте администрации Минусинского района в сети «Интернет» в разделе «Финансы», подраздел «Муниципальные программы - Программы» и применяется к правоотношениям, возникшим с 01.01.2025.</w:t>
      </w:r>
    </w:p>
    <w:p w:rsidR="001E1B79" w:rsidRDefault="001E1B79" w:rsidP="001E1B79">
      <w:pPr>
        <w:keepNext/>
        <w:rPr>
          <w:sz w:val="28"/>
          <w:szCs w:val="28"/>
        </w:rPr>
      </w:pPr>
    </w:p>
    <w:p w:rsidR="001E1B79" w:rsidRDefault="001E1B79" w:rsidP="001E1B79">
      <w:pPr>
        <w:keepNext/>
        <w:rPr>
          <w:sz w:val="28"/>
          <w:szCs w:val="28"/>
        </w:rPr>
      </w:pPr>
    </w:p>
    <w:p w:rsidR="001E1B79" w:rsidRDefault="001E1B79" w:rsidP="001E1B79">
      <w:pPr>
        <w:keepNext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>Г</w:t>
      </w:r>
      <w:r w:rsidRPr="00A731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7314C">
        <w:rPr>
          <w:sz w:val="28"/>
          <w:szCs w:val="28"/>
        </w:rPr>
        <w:t xml:space="preserve"> района</w:t>
      </w:r>
      <w:r w:rsidRPr="00A7314C">
        <w:rPr>
          <w:sz w:val="28"/>
          <w:szCs w:val="28"/>
        </w:rPr>
        <w:tab/>
      </w:r>
      <w:r w:rsidRPr="00A7314C">
        <w:rPr>
          <w:sz w:val="28"/>
          <w:szCs w:val="28"/>
        </w:rPr>
        <w:tab/>
      </w:r>
      <w:r w:rsidRPr="00A7314C">
        <w:rPr>
          <w:sz w:val="28"/>
          <w:szCs w:val="28"/>
        </w:rPr>
        <w:tab/>
        <w:t xml:space="preserve">       </w:t>
      </w:r>
      <w:r w:rsidRPr="00A7314C">
        <w:rPr>
          <w:sz w:val="28"/>
          <w:szCs w:val="28"/>
        </w:rPr>
        <w:tab/>
      </w:r>
      <w:r w:rsidRPr="00A7314C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            </w:t>
      </w:r>
      <w:r w:rsidRPr="00A7314C">
        <w:rPr>
          <w:sz w:val="28"/>
          <w:szCs w:val="28"/>
        </w:rPr>
        <w:t xml:space="preserve"> </w:t>
      </w:r>
      <w:r>
        <w:rPr>
          <w:sz w:val="28"/>
          <w:szCs w:val="28"/>
        </w:rPr>
        <w:t>С.И. Глухов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395"/>
        <w:gridCol w:w="4961"/>
      </w:tblGrid>
      <w:tr w:rsidR="001E1B79" w:rsidRPr="00E868BD" w:rsidTr="00C13602">
        <w:tc>
          <w:tcPr>
            <w:tcW w:w="4395" w:type="dxa"/>
          </w:tcPr>
          <w:p w:rsidR="001E1B79" w:rsidRPr="00E868BD" w:rsidRDefault="001E1B79" w:rsidP="00C13602">
            <w:pPr>
              <w:pStyle w:val="ConsPlusNormal"/>
              <w:pageBreakBefore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B79" w:rsidRPr="00E868BD" w:rsidRDefault="001E1B79" w:rsidP="00C13602">
            <w:pPr>
              <w:pStyle w:val="ConsPlusNormal"/>
              <w:pageBreakBefore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B79" w:rsidRPr="00E868BD" w:rsidRDefault="001E1B79" w:rsidP="00C13602">
            <w:pPr>
              <w:pStyle w:val="ConsPlusNormal"/>
              <w:pageBreakBefore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B79" w:rsidRPr="00E868BD" w:rsidRDefault="001E1B79" w:rsidP="00C13602">
            <w:pPr>
              <w:pStyle w:val="ConsPlusNormal"/>
              <w:pageBreakBefore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E1B79" w:rsidRDefault="001E1B79" w:rsidP="00C13602">
            <w:pPr>
              <w:pStyle w:val="ConsPlusNormal"/>
              <w:pageBreakBefore/>
              <w:widowControl/>
              <w:tabs>
                <w:tab w:val="left" w:pos="4711"/>
              </w:tabs>
              <w:ind w:left="130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1E1B79" w:rsidRPr="00E868BD" w:rsidRDefault="001E1B79" w:rsidP="00C13602">
            <w:pPr>
              <w:pStyle w:val="ConsPlusNormal"/>
              <w:pageBreakBefore/>
              <w:widowControl/>
              <w:ind w:left="130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>администрации Минусинского района</w:t>
            </w:r>
          </w:p>
          <w:p w:rsidR="001E1B79" w:rsidRPr="00E868BD" w:rsidRDefault="001E1B79" w:rsidP="00C37BA3">
            <w:pPr>
              <w:pStyle w:val="ConsPlusNormal"/>
              <w:pageBreakBefore/>
              <w:widowControl/>
              <w:ind w:left="130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7BA3"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37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BA3">
              <w:t>943-п</w:t>
            </w:r>
          </w:p>
        </w:tc>
      </w:tr>
    </w:tbl>
    <w:p w:rsidR="001E1B79" w:rsidRPr="00E868BD" w:rsidRDefault="001E1B79" w:rsidP="001E1B79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1E1B79" w:rsidRPr="00E868BD" w:rsidRDefault="001E1B79" w:rsidP="001E1B79">
      <w:pPr>
        <w:jc w:val="center"/>
        <w:rPr>
          <w:b/>
        </w:rPr>
      </w:pPr>
    </w:p>
    <w:p w:rsidR="001E1B79" w:rsidRPr="00970EA4" w:rsidRDefault="001E1B79" w:rsidP="001E1B79">
      <w:pPr>
        <w:jc w:val="center"/>
      </w:pPr>
      <w:r w:rsidRPr="00970EA4">
        <w:t xml:space="preserve">Муниципальная программа Минусинского района </w:t>
      </w:r>
    </w:p>
    <w:p w:rsidR="001E1B79" w:rsidRPr="00970EA4" w:rsidRDefault="001E1B79" w:rsidP="001E1B79">
      <w:pPr>
        <w:jc w:val="center"/>
        <w:rPr>
          <w:color w:val="000000"/>
        </w:rPr>
      </w:pPr>
      <w:r w:rsidRPr="00970EA4">
        <w:t>«</w:t>
      </w:r>
      <w:r w:rsidRPr="00970EA4">
        <w:rPr>
          <w:color w:val="000000"/>
        </w:rPr>
        <w:t>Молодежь Минусинского района».</w:t>
      </w:r>
    </w:p>
    <w:p w:rsidR="001E1B79" w:rsidRPr="00970EA4" w:rsidRDefault="001E1B79" w:rsidP="001E1B79">
      <w:pPr>
        <w:jc w:val="center"/>
      </w:pPr>
      <w:r w:rsidRPr="00970EA4">
        <w:t xml:space="preserve">1. Паспорт муниципальной программы </w:t>
      </w:r>
    </w:p>
    <w:p w:rsidR="001E1B79" w:rsidRPr="00E868BD" w:rsidRDefault="001E1B79" w:rsidP="001E1B79">
      <w:pPr>
        <w:snapToGrid w:val="0"/>
        <w:ind w:left="-108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6186"/>
      </w:tblGrid>
      <w:tr w:rsidR="001E1B79" w:rsidRPr="00E868BD" w:rsidTr="00C13602">
        <w:trPr>
          <w:trHeight w:val="145"/>
        </w:trPr>
        <w:tc>
          <w:tcPr>
            <w:tcW w:w="3420" w:type="dxa"/>
          </w:tcPr>
          <w:p w:rsidR="001E1B79" w:rsidRPr="00E868BD" w:rsidRDefault="001E1B79" w:rsidP="00C13602">
            <w:pPr>
              <w:jc w:val="left"/>
            </w:pPr>
            <w:r w:rsidRPr="00E868BD">
              <w:t>Наименование муниципальной программы</w:t>
            </w:r>
          </w:p>
        </w:tc>
        <w:tc>
          <w:tcPr>
            <w:tcW w:w="6186" w:type="dxa"/>
          </w:tcPr>
          <w:p w:rsidR="001E1B79" w:rsidRDefault="001E1B79" w:rsidP="00C13602">
            <w:pPr>
              <w:snapToGrid w:val="0"/>
            </w:pPr>
            <w:r w:rsidRPr="00E868BD">
              <w:t xml:space="preserve">«Молодежь Минусинского района» </w:t>
            </w:r>
          </w:p>
          <w:p w:rsidR="001E1B79" w:rsidRPr="00E868BD" w:rsidRDefault="001E1B79" w:rsidP="00C13602">
            <w:pPr>
              <w:snapToGrid w:val="0"/>
            </w:pPr>
            <w:r w:rsidRPr="00E868BD">
              <w:t>(далее – муниципальная программа)</w:t>
            </w:r>
          </w:p>
        </w:tc>
      </w:tr>
      <w:tr w:rsidR="001E1B79" w:rsidRPr="00E868BD" w:rsidTr="00C13602">
        <w:trPr>
          <w:trHeight w:val="145"/>
        </w:trPr>
        <w:tc>
          <w:tcPr>
            <w:tcW w:w="3420" w:type="dxa"/>
          </w:tcPr>
          <w:p w:rsidR="001E1B79" w:rsidRPr="00E868BD" w:rsidRDefault="001E1B79" w:rsidP="00C13602">
            <w:pPr>
              <w:jc w:val="left"/>
            </w:pPr>
            <w:r w:rsidRPr="00E868BD">
              <w:t xml:space="preserve"> Основание для разработки муниципальной программы</w:t>
            </w:r>
          </w:p>
        </w:tc>
        <w:tc>
          <w:tcPr>
            <w:tcW w:w="6186" w:type="dxa"/>
          </w:tcPr>
          <w:p w:rsidR="001E1B79" w:rsidRPr="00E868BD" w:rsidRDefault="001E1B79" w:rsidP="00C13602">
            <w:pPr>
              <w:suppressAutoHyphens w:val="0"/>
              <w:autoSpaceDE w:val="0"/>
              <w:autoSpaceDN w:val="0"/>
              <w:adjustRightInd w:val="0"/>
              <w:jc w:val="left"/>
            </w:pPr>
            <w:r w:rsidRPr="00E868BD">
              <w:t>1.Статья 179 Бюджетного кодекса РФ.</w:t>
            </w:r>
          </w:p>
          <w:p w:rsidR="001E1B79" w:rsidRPr="00E868BD" w:rsidRDefault="001E1B79" w:rsidP="00C13602">
            <w:pPr>
              <w:suppressAutoHyphens w:val="0"/>
              <w:autoSpaceDE w:val="0"/>
              <w:autoSpaceDN w:val="0"/>
              <w:adjustRightInd w:val="0"/>
            </w:pPr>
            <w:r w:rsidRPr="00E868BD">
              <w:t>2.Постановление администрации Минусинского района от 0</w:t>
            </w:r>
            <w:r>
              <w:t>4</w:t>
            </w:r>
            <w:r w:rsidRPr="00E868BD">
              <w:rPr>
                <w:color w:val="FF0000"/>
              </w:rPr>
              <w:t>.</w:t>
            </w:r>
            <w:r w:rsidRPr="00E868BD">
              <w:t>1</w:t>
            </w:r>
            <w:r>
              <w:t>0</w:t>
            </w:r>
            <w:r w:rsidRPr="00E868BD">
              <w:t>.201</w:t>
            </w:r>
            <w:r>
              <w:t>9</w:t>
            </w:r>
            <w:r w:rsidRPr="00E868BD">
              <w:t xml:space="preserve"> № </w:t>
            </w:r>
            <w:r>
              <w:t>686</w:t>
            </w:r>
            <w:r w:rsidRPr="00E868BD">
              <w:t>-п «Об утверждении Порядка принятия решений о разработке муниципальных программ Минусинского района, их формировании и реализации».</w:t>
            </w:r>
          </w:p>
          <w:p w:rsidR="001E1B79" w:rsidRPr="00E868BD" w:rsidRDefault="001E1B79" w:rsidP="00C13602">
            <w:pPr>
              <w:suppressAutoHyphens w:val="0"/>
              <w:autoSpaceDE w:val="0"/>
              <w:autoSpaceDN w:val="0"/>
              <w:adjustRightInd w:val="0"/>
            </w:pPr>
            <w:r w:rsidRPr="00E868BD">
              <w:t xml:space="preserve">3.Постановление администрации Минусинского района от </w:t>
            </w:r>
            <w:r>
              <w:t>04</w:t>
            </w:r>
            <w:r w:rsidRPr="00E868BD">
              <w:t>.</w:t>
            </w:r>
            <w:r>
              <w:t>10</w:t>
            </w:r>
            <w:r w:rsidRPr="00E868BD">
              <w:t>.20</w:t>
            </w:r>
            <w:r>
              <w:t>24 № 811</w:t>
            </w:r>
            <w:r w:rsidRPr="00E868BD">
              <w:t>-п «Об утверждении перечня муниципальных программ Минусинского района на 20</w:t>
            </w:r>
            <w:r>
              <w:t>25</w:t>
            </w:r>
            <w:r w:rsidRPr="00E868BD">
              <w:t xml:space="preserve"> год».</w:t>
            </w:r>
          </w:p>
        </w:tc>
      </w:tr>
      <w:tr w:rsidR="001E1B79" w:rsidRPr="00E868BD" w:rsidTr="00C13602">
        <w:trPr>
          <w:trHeight w:val="145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 xml:space="preserve">Ответственный </w:t>
            </w:r>
          </w:p>
          <w:p w:rsidR="001E1B79" w:rsidRPr="00E868BD" w:rsidRDefault="001E1B79" w:rsidP="00C13602">
            <w:pPr>
              <w:snapToGrid w:val="0"/>
              <w:jc w:val="left"/>
            </w:pPr>
            <w:r w:rsidRPr="00E868BD">
              <w:t xml:space="preserve">Исполнитель </w:t>
            </w:r>
            <w:proofErr w:type="gramStart"/>
            <w:r w:rsidRPr="00E868BD">
              <w:t>муниципальной</w:t>
            </w:r>
            <w:proofErr w:type="gramEnd"/>
          </w:p>
          <w:p w:rsidR="001E1B79" w:rsidRPr="00E868BD" w:rsidRDefault="001E1B79" w:rsidP="00C13602">
            <w:pPr>
              <w:snapToGrid w:val="0"/>
              <w:jc w:val="left"/>
            </w:pPr>
            <w:r w:rsidRPr="00E868BD">
              <w:t>программы</w:t>
            </w:r>
          </w:p>
        </w:tc>
        <w:tc>
          <w:tcPr>
            <w:tcW w:w="6186" w:type="dxa"/>
          </w:tcPr>
          <w:p w:rsidR="001E1B79" w:rsidRDefault="001E1B79" w:rsidP="00C13602">
            <w:pPr>
              <w:snapToGrid w:val="0"/>
            </w:pPr>
            <w:r w:rsidRPr="00E868BD">
              <w:t xml:space="preserve">Отдел культуры, спорта, туризма и молодежной политики администрации Минусинского района </w:t>
            </w:r>
          </w:p>
          <w:p w:rsidR="001E1B79" w:rsidRPr="00E868BD" w:rsidRDefault="001E1B79" w:rsidP="00C13602">
            <w:pPr>
              <w:snapToGrid w:val="0"/>
            </w:pPr>
            <w:r w:rsidRPr="00E868BD">
              <w:t xml:space="preserve">(далее по программе </w:t>
            </w:r>
            <w:proofErr w:type="spellStart"/>
            <w:r w:rsidRPr="00E868BD">
              <w:t>ОКСТиМП</w:t>
            </w:r>
            <w:proofErr w:type="spellEnd"/>
            <w:r w:rsidRPr="00E868BD">
              <w:t xml:space="preserve"> АМР)</w:t>
            </w:r>
          </w:p>
        </w:tc>
      </w:tr>
      <w:tr w:rsidR="001E1B79" w:rsidRPr="00E868BD" w:rsidTr="00C13602">
        <w:trPr>
          <w:trHeight w:val="145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>Соисполнители муниципальной программы</w:t>
            </w:r>
          </w:p>
        </w:tc>
        <w:tc>
          <w:tcPr>
            <w:tcW w:w="6186" w:type="dxa"/>
          </w:tcPr>
          <w:p w:rsidR="001E1B79" w:rsidRPr="00E868BD" w:rsidRDefault="001E1B79" w:rsidP="00C1360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МБУ «МЦ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r w:rsidRPr="00E868B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Тонус»</w:t>
            </w:r>
          </w:p>
        </w:tc>
      </w:tr>
      <w:tr w:rsidR="001E1B79" w:rsidRPr="00E868BD" w:rsidTr="00C13602">
        <w:trPr>
          <w:trHeight w:val="145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>Перечень подпрограмм и отдельных мероприятий муниципальной программы</w:t>
            </w:r>
          </w:p>
        </w:tc>
        <w:tc>
          <w:tcPr>
            <w:tcW w:w="6186" w:type="dxa"/>
          </w:tcPr>
          <w:p w:rsidR="001E1B79" w:rsidRDefault="001E1B79" w:rsidP="00C13602">
            <w:r w:rsidRPr="00E868BD">
              <w:t>Подпрограмма 1 «Поддержка инициативно</w:t>
            </w:r>
            <w:r>
              <w:t>й молодежи Минусинского района».</w:t>
            </w:r>
          </w:p>
          <w:p w:rsidR="001E1B79" w:rsidRPr="00E868BD" w:rsidRDefault="001E1B79" w:rsidP="00C13602">
            <w:r>
              <w:t>Подпрограмма 2 «Патриотическое воспитание молодежи Минусинского района».</w:t>
            </w:r>
          </w:p>
        </w:tc>
      </w:tr>
      <w:tr w:rsidR="001E1B79" w:rsidRPr="00E868BD" w:rsidTr="00C13602">
        <w:trPr>
          <w:trHeight w:val="1104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>Цель муниципальной программы</w:t>
            </w:r>
          </w:p>
        </w:tc>
        <w:tc>
          <w:tcPr>
            <w:tcW w:w="6186" w:type="dxa"/>
          </w:tcPr>
          <w:p w:rsidR="001E1B79" w:rsidRPr="00E868BD" w:rsidRDefault="001E1B79" w:rsidP="00C13602">
            <w:r w:rsidRPr="00E868BD">
              <w:t>Создание условий для развития потенциала молодежи и его реализации в интересах развития Минусинского района.</w:t>
            </w:r>
          </w:p>
        </w:tc>
      </w:tr>
      <w:tr w:rsidR="001E1B79" w:rsidRPr="00E868BD" w:rsidTr="00C13602">
        <w:trPr>
          <w:trHeight w:val="1286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>Задачи муниципальной программы</w:t>
            </w:r>
          </w:p>
        </w:tc>
        <w:tc>
          <w:tcPr>
            <w:tcW w:w="6186" w:type="dxa"/>
          </w:tcPr>
          <w:p w:rsidR="001E1B79" w:rsidRDefault="001E1B79" w:rsidP="00C13602">
            <w:pPr>
              <w:ind w:hanging="18"/>
              <w:rPr>
                <w:bCs/>
              </w:rPr>
            </w:pPr>
            <w:r w:rsidRPr="00E14F9F">
              <w:rPr>
                <w:bCs/>
              </w:rPr>
              <w:t>1.Создание условий для успешной социализации и эффективной самореализации молодежи, развитие потенциала молодежи и его использование в интересах развития района.</w:t>
            </w:r>
          </w:p>
          <w:p w:rsidR="001E1B79" w:rsidRPr="00E868BD" w:rsidRDefault="001E1B79" w:rsidP="00C13602">
            <w:r w:rsidRPr="00B24D7D">
              <w:t>2. Создание условий для формирования патриотического сознания молодежи, гражданской позиции и потребности в достойном служении Отечеству, участия в его защите и социально-экономическом развитии.</w:t>
            </w:r>
          </w:p>
        </w:tc>
      </w:tr>
      <w:tr w:rsidR="001E1B79" w:rsidRPr="00E868BD" w:rsidTr="00C13602">
        <w:trPr>
          <w:trHeight w:val="478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 xml:space="preserve">Этапы и сроки </w:t>
            </w:r>
          </w:p>
          <w:p w:rsidR="001E1B79" w:rsidRPr="00E868BD" w:rsidRDefault="001E1B79" w:rsidP="00C13602">
            <w:pPr>
              <w:snapToGrid w:val="0"/>
              <w:jc w:val="left"/>
            </w:pPr>
            <w:r w:rsidRPr="00E868BD">
              <w:t>реализации муниципальной программы</w:t>
            </w:r>
          </w:p>
        </w:tc>
        <w:tc>
          <w:tcPr>
            <w:tcW w:w="6186" w:type="dxa"/>
          </w:tcPr>
          <w:p w:rsidR="001E1B79" w:rsidRPr="00E868BD" w:rsidRDefault="001E1B79" w:rsidP="00C1360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1E1B79" w:rsidRPr="00E868BD" w:rsidRDefault="001E1B79" w:rsidP="00C1360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>2014-2030 годы</w:t>
            </w:r>
          </w:p>
          <w:p w:rsidR="001E1B79" w:rsidRPr="00E868BD" w:rsidRDefault="001E1B79" w:rsidP="00C1360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8BD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выделяются.</w:t>
            </w:r>
          </w:p>
        </w:tc>
      </w:tr>
      <w:tr w:rsidR="001E1B79" w:rsidRPr="00E868BD" w:rsidTr="00C13602">
        <w:trPr>
          <w:trHeight w:val="60"/>
        </w:trPr>
        <w:tc>
          <w:tcPr>
            <w:tcW w:w="3420" w:type="dxa"/>
          </w:tcPr>
          <w:p w:rsidR="001E1B79" w:rsidRPr="00E868BD" w:rsidRDefault="001E1B79" w:rsidP="00C13602">
            <w:pPr>
              <w:snapToGrid w:val="0"/>
              <w:jc w:val="left"/>
            </w:pPr>
            <w:r w:rsidRPr="00E868BD">
              <w:t xml:space="preserve">Перечень целевых показателей муниципальной </w:t>
            </w:r>
            <w:proofErr w:type="gramStart"/>
            <w:r w:rsidRPr="00E868BD">
              <w:t>программы</w:t>
            </w:r>
            <w:proofErr w:type="gramEnd"/>
            <w:r w:rsidRPr="00E868BD">
              <w:t xml:space="preserve"> с указанием планируемых к достижению значений в результате реализации </w:t>
            </w:r>
            <w:r w:rsidRPr="00E868BD">
              <w:lastRenderedPageBreak/>
              <w:t xml:space="preserve">муниципальной программы Минусинского района </w:t>
            </w:r>
          </w:p>
        </w:tc>
        <w:tc>
          <w:tcPr>
            <w:tcW w:w="6186" w:type="dxa"/>
          </w:tcPr>
          <w:p w:rsidR="001E1B79" w:rsidRPr="00E868BD" w:rsidRDefault="001E1B79" w:rsidP="00C13602">
            <w:pPr>
              <w:widowControl w:val="0"/>
              <w:spacing w:line="100" w:lineRule="atLeast"/>
              <w:jc w:val="left"/>
            </w:pPr>
            <w:r w:rsidRPr="00E868BD">
              <w:lastRenderedPageBreak/>
              <w:t xml:space="preserve"> </w:t>
            </w:r>
            <w:proofErr w:type="gramStart"/>
            <w:r w:rsidRPr="00E868BD">
              <w:t>Приведен</w:t>
            </w:r>
            <w:proofErr w:type="gramEnd"/>
            <w:r w:rsidRPr="00E868BD">
              <w:t xml:space="preserve"> в приложении 1 к муниципальной программе.</w:t>
            </w:r>
          </w:p>
        </w:tc>
      </w:tr>
      <w:tr w:rsidR="001E1B79" w:rsidRPr="003911D4" w:rsidTr="00C13602">
        <w:trPr>
          <w:trHeight w:val="8779"/>
        </w:trPr>
        <w:tc>
          <w:tcPr>
            <w:tcW w:w="3420" w:type="dxa"/>
          </w:tcPr>
          <w:p w:rsidR="001E1B79" w:rsidRPr="003911D4" w:rsidRDefault="001E1B79" w:rsidP="00C13602">
            <w:pPr>
              <w:snapToGrid w:val="0"/>
              <w:jc w:val="left"/>
            </w:pPr>
            <w:r w:rsidRPr="003911D4">
              <w:lastRenderedPageBreak/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6186" w:type="dxa"/>
          </w:tcPr>
          <w:p w:rsidR="001E1B79" w:rsidRPr="00A27E24" w:rsidRDefault="001E1B79" w:rsidP="00C13602">
            <w:pPr>
              <w:keepNext/>
              <w:autoSpaceDE w:val="0"/>
              <w:rPr>
                <w:b/>
                <w:bCs/>
                <w:color w:val="000000"/>
              </w:rPr>
            </w:pPr>
            <w:r w:rsidRPr="003911D4">
              <w:t>Общий объем финансирования муниципальной программы за период в 2014 - 202</w:t>
            </w:r>
            <w:r>
              <w:t>7</w:t>
            </w:r>
            <w:r w:rsidRPr="003911D4">
              <w:t xml:space="preserve"> годах за счет всех источников составит – </w:t>
            </w:r>
            <w:r>
              <w:t>106306,56123</w:t>
            </w:r>
            <w:r w:rsidRPr="003911D4">
              <w:rPr>
                <w:bCs/>
                <w:color w:val="000000"/>
              </w:rPr>
              <w:t xml:space="preserve"> </w:t>
            </w:r>
            <w:r w:rsidRPr="003911D4">
              <w:t xml:space="preserve">тыс. рублей, в том </w:t>
            </w:r>
            <w:r w:rsidRPr="00A27E24">
              <w:t>числе: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2014г. – 4530,303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 xml:space="preserve">2015г. – 4231,174 </w:t>
            </w:r>
            <w:r w:rsidRPr="00A27E24">
              <w:rPr>
                <w:bCs/>
              </w:rPr>
              <w:t>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2016г. – 5740,320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2017г. – 6896,64540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2018г. – 7962,31160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2019г. – 8211,65698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2020г. – 8184,46850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2021г. – 10172,52858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2022г. – 10950,631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2023г. – 9592,23117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2024г. – 8261,084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2025г. – 7543,297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2026г. – 7018,430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2027г. – 7011,480 тыс. рублей.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в том числе:</w:t>
            </w:r>
          </w:p>
          <w:p w:rsidR="001E1B79" w:rsidRPr="00A27E24" w:rsidRDefault="001E1B79" w:rsidP="00C13602">
            <w:pPr>
              <w:keepNext/>
              <w:autoSpaceDE w:val="0"/>
              <w:rPr>
                <w:b/>
                <w:bCs/>
                <w:color w:val="000000"/>
              </w:rPr>
            </w:pPr>
            <w:r w:rsidRPr="00A27E24">
              <w:t xml:space="preserve">средства районного бюджета – 91780,22737 </w:t>
            </w:r>
            <w:r w:rsidRPr="00A27E24">
              <w:rPr>
                <w:b/>
                <w:bCs/>
                <w:color w:val="000000"/>
              </w:rPr>
              <w:t xml:space="preserve"> </w:t>
            </w:r>
            <w:r w:rsidRPr="00A27E24">
              <w:t>тыс. рублей: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 xml:space="preserve">2014г. – 3858,603 </w:t>
            </w:r>
            <w:r w:rsidRPr="00A27E24">
              <w:rPr>
                <w:bCs/>
              </w:rPr>
              <w:t>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rPr>
                <w:bCs/>
              </w:rPr>
              <w:t>2015г. – 3621,774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rPr>
                <w:bCs/>
              </w:rPr>
              <w:t>2016г. – 4296,520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2017г. – 5333,5444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2018г. – 5409,4516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2019г. – 7192,83012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2020г. – 7237,12250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2021г. – 9286,52858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2022г. – 9845,831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2023г. – 8797,23117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2024г. – 7461,184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2025г. – 6832,097тыс.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2026г. – 6307,230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2027г. – 6300,280 тыс. рублей.</w:t>
            </w:r>
          </w:p>
          <w:p w:rsidR="001E1B79" w:rsidRPr="00A27E24" w:rsidRDefault="001E1B79" w:rsidP="00C13602">
            <w:pPr>
              <w:keepNext/>
              <w:autoSpaceDE w:val="0"/>
              <w:rPr>
                <w:bCs/>
                <w:color w:val="000000"/>
              </w:rPr>
            </w:pPr>
            <w:r w:rsidRPr="00A27E24">
              <w:rPr>
                <w:bCs/>
              </w:rPr>
              <w:t>средства краевого бюджета – 14526,33386</w:t>
            </w:r>
            <w:r w:rsidRPr="00A27E24">
              <w:rPr>
                <w:bCs/>
                <w:color w:val="000000"/>
              </w:rPr>
              <w:t xml:space="preserve"> </w:t>
            </w:r>
            <w:r w:rsidRPr="00A27E24">
              <w:rPr>
                <w:bCs/>
              </w:rPr>
              <w:t>тыс. рублей: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 xml:space="preserve">2014г.– 671,700 </w:t>
            </w:r>
            <w:r w:rsidRPr="00A27E24">
              <w:rPr>
                <w:bCs/>
              </w:rPr>
              <w:t>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rPr>
                <w:bCs/>
              </w:rPr>
              <w:t>2015г. – 609,400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rPr>
                <w:bCs/>
              </w:rPr>
              <w:t>2016г. – 1443,800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2017г. – 1563,101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2018г. – 2552,860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2019г. – 1018,82686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2020г. – 947,346 тыс. рублей;</w:t>
            </w:r>
          </w:p>
          <w:p w:rsidR="001E1B79" w:rsidRPr="00A27E24" w:rsidRDefault="001E1B79" w:rsidP="00C13602">
            <w:pPr>
              <w:keepNext/>
              <w:autoSpaceDE w:val="0"/>
              <w:rPr>
                <w:rFonts w:ascii="Arial" w:hAnsi="Arial" w:cs="Arial"/>
              </w:rPr>
            </w:pPr>
            <w:r w:rsidRPr="00A27E24">
              <w:t>2021г. – 886,00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2022г. – 1104,800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2023г. – 795,0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2024г. – 799,90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2025 г. – 711,2 тыс. рублей;</w:t>
            </w:r>
          </w:p>
          <w:p w:rsidR="001E1B79" w:rsidRPr="00A27E24" w:rsidRDefault="001E1B79" w:rsidP="00C13602">
            <w:pPr>
              <w:keepNext/>
              <w:autoSpaceDE w:val="0"/>
            </w:pPr>
            <w:r w:rsidRPr="00A27E24">
              <w:t>2026 г. – 711,2 тыс. рублей;</w:t>
            </w:r>
          </w:p>
          <w:p w:rsidR="001E1B79" w:rsidRPr="003911D4" w:rsidRDefault="001E1B79" w:rsidP="00C13602">
            <w:pPr>
              <w:keepNext/>
              <w:autoSpaceDE w:val="0"/>
            </w:pPr>
            <w:r w:rsidRPr="00A27E24">
              <w:t>2027г. – 711,2 тыс. рублей.</w:t>
            </w:r>
          </w:p>
        </w:tc>
      </w:tr>
    </w:tbl>
    <w:p w:rsidR="001E1B79" w:rsidRPr="003911D4" w:rsidRDefault="001E1B79" w:rsidP="001E1B79">
      <w:pPr>
        <w:pStyle w:val="a3"/>
        <w:ind w:left="851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1B79" w:rsidRDefault="001E1B79">
      <w:pPr>
        <w:sectPr w:rsidR="001E1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1"/>
        <w:gridCol w:w="7251"/>
      </w:tblGrid>
      <w:tr w:rsidR="001E1B79" w:rsidTr="00C13602">
        <w:tc>
          <w:tcPr>
            <w:tcW w:w="7251" w:type="dxa"/>
          </w:tcPr>
          <w:p w:rsidR="001E1B79" w:rsidRPr="00397818" w:rsidRDefault="001E1B79" w:rsidP="00C1360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1" w:type="dxa"/>
          </w:tcPr>
          <w:p w:rsidR="001E1B79" w:rsidRPr="00397818" w:rsidRDefault="001E1B79" w:rsidP="00C13602">
            <w:pPr>
              <w:pStyle w:val="ConsPlusNormal"/>
              <w:ind w:left="1254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781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</w:t>
            </w:r>
          </w:p>
          <w:p w:rsidR="001E1B79" w:rsidRPr="00397818" w:rsidRDefault="001E1B79" w:rsidP="00C13602">
            <w:pPr>
              <w:pStyle w:val="ConsPlusNormal"/>
              <w:ind w:left="1254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7818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Минусинского района </w:t>
            </w:r>
          </w:p>
          <w:p w:rsidR="001E1B79" w:rsidRPr="00397818" w:rsidRDefault="001E1B79" w:rsidP="00C13602">
            <w:pPr>
              <w:pStyle w:val="ConsPlusNormal"/>
              <w:ind w:left="1254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97818">
              <w:rPr>
                <w:rFonts w:ascii="Times New Roman" w:hAnsi="Times New Roman" w:cs="Times New Roman"/>
                <w:sz w:val="24"/>
                <w:szCs w:val="24"/>
              </w:rPr>
              <w:t>«Молодежь Минусинского района»</w:t>
            </w:r>
          </w:p>
        </w:tc>
      </w:tr>
    </w:tbl>
    <w:p w:rsidR="001E1B79" w:rsidRDefault="001E1B79" w:rsidP="001E1B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10"/>
      <w:bookmarkEnd w:id="0"/>
    </w:p>
    <w:p w:rsidR="001E1B79" w:rsidRPr="00E868BD" w:rsidRDefault="001E1B79" w:rsidP="001E1B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868BD">
        <w:rPr>
          <w:rFonts w:ascii="Times New Roman" w:hAnsi="Times New Roman" w:cs="Times New Roman"/>
          <w:sz w:val="24"/>
          <w:szCs w:val="24"/>
        </w:rPr>
        <w:t>еречень</w:t>
      </w:r>
    </w:p>
    <w:p w:rsidR="001E1B79" w:rsidRPr="00E868BD" w:rsidRDefault="001E1B79" w:rsidP="001E1B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8BD">
        <w:rPr>
          <w:rFonts w:ascii="Times New Roman" w:hAnsi="Times New Roman" w:cs="Times New Roman"/>
          <w:sz w:val="24"/>
          <w:szCs w:val="24"/>
        </w:rPr>
        <w:t xml:space="preserve">целевых показателей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868BD">
        <w:rPr>
          <w:rFonts w:ascii="Times New Roman" w:hAnsi="Times New Roman" w:cs="Times New Roman"/>
          <w:sz w:val="24"/>
          <w:szCs w:val="24"/>
        </w:rPr>
        <w:t>инусинского района</w:t>
      </w:r>
    </w:p>
    <w:p w:rsidR="001E1B79" w:rsidRPr="00E868BD" w:rsidRDefault="001E1B79" w:rsidP="001E1B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8BD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</w:t>
      </w:r>
    </w:p>
    <w:p w:rsidR="001E1B79" w:rsidRPr="00E868BD" w:rsidRDefault="001E1B79" w:rsidP="001E1B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8BD">
        <w:rPr>
          <w:rFonts w:ascii="Times New Roman" w:hAnsi="Times New Roman" w:cs="Times New Roman"/>
          <w:sz w:val="24"/>
          <w:szCs w:val="24"/>
        </w:rPr>
        <w:t>в результате реализации муниципальной программы</w:t>
      </w:r>
    </w:p>
    <w:p w:rsidR="001E1B79" w:rsidRPr="00E868BD" w:rsidRDefault="001E1B79" w:rsidP="001E1B7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E868BD">
        <w:rPr>
          <w:rFonts w:ascii="Times New Roman" w:hAnsi="Times New Roman" w:cs="Times New Roman"/>
          <w:sz w:val="24"/>
          <w:szCs w:val="24"/>
        </w:rPr>
        <w:t>инусинского района</w:t>
      </w:r>
    </w:p>
    <w:p w:rsidR="001E1B79" w:rsidRPr="00E868BD" w:rsidRDefault="001E1B79" w:rsidP="001E1B7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1650"/>
        <w:gridCol w:w="1187"/>
        <w:gridCol w:w="1602"/>
        <w:gridCol w:w="708"/>
        <w:gridCol w:w="709"/>
        <w:gridCol w:w="1242"/>
        <w:gridCol w:w="1237"/>
        <w:gridCol w:w="1142"/>
        <w:gridCol w:w="1089"/>
        <w:gridCol w:w="1734"/>
        <w:gridCol w:w="1494"/>
      </w:tblGrid>
      <w:tr w:rsidR="001E1B79" w:rsidRPr="00E868BD" w:rsidTr="00C13602">
        <w:tc>
          <w:tcPr>
            <w:tcW w:w="585" w:type="dxa"/>
            <w:vMerge w:val="restart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 xml:space="preserve">N№ </w:t>
            </w:r>
            <w:proofErr w:type="gramStart"/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50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187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02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355" w:type="dxa"/>
            <w:gridSpan w:val="8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1E1B79" w:rsidRPr="00E868BD" w:rsidTr="00C13602">
        <w:tc>
          <w:tcPr>
            <w:tcW w:w="585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650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187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602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708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42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E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2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89" w:type="dxa"/>
            <w:vMerge w:val="restart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28" w:type="dxa"/>
            <w:gridSpan w:val="2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1E1B79" w:rsidRPr="00E868BD" w:rsidTr="00C13602">
        <w:tc>
          <w:tcPr>
            <w:tcW w:w="585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650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187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602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708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709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242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237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142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089" w:type="dxa"/>
            <w:vMerge/>
          </w:tcPr>
          <w:p w:rsidR="001E1B79" w:rsidRPr="004E1281" w:rsidRDefault="001E1B79" w:rsidP="00C13602">
            <w:pPr>
              <w:jc w:val="center"/>
            </w:pPr>
          </w:p>
        </w:tc>
        <w:tc>
          <w:tcPr>
            <w:tcW w:w="1734" w:type="dxa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4" w:type="dxa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1E1B79" w:rsidRPr="00E868BD" w:rsidTr="00C13602">
        <w:trPr>
          <w:trHeight w:val="496"/>
        </w:trPr>
        <w:tc>
          <w:tcPr>
            <w:tcW w:w="585" w:type="dxa"/>
            <w:vAlign w:val="bottom"/>
          </w:tcPr>
          <w:p w:rsidR="001E1B79" w:rsidRPr="004E1281" w:rsidRDefault="001E1B79" w:rsidP="00C136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7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2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42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7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9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  <w:vAlign w:val="bottom"/>
          </w:tcPr>
          <w:p w:rsidR="001E1B79" w:rsidRPr="004E1281" w:rsidRDefault="001E1B79" w:rsidP="00C1360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4" w:type="dxa"/>
            <w:vAlign w:val="bottom"/>
          </w:tcPr>
          <w:p w:rsidR="001E1B79" w:rsidRPr="004E1281" w:rsidRDefault="001E1B79" w:rsidP="00C13602">
            <w:pPr>
              <w:pStyle w:val="a7"/>
              <w:jc w:val="center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E1B79" w:rsidRPr="00E868BD" w:rsidTr="00C13602">
        <w:tc>
          <w:tcPr>
            <w:tcW w:w="585" w:type="dxa"/>
          </w:tcPr>
          <w:p w:rsidR="001E1B79" w:rsidRPr="004E1281" w:rsidRDefault="001E1B79" w:rsidP="00C13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4" w:type="dxa"/>
            <w:gridSpan w:val="11"/>
          </w:tcPr>
          <w:p w:rsidR="001E1B79" w:rsidRPr="004E1281" w:rsidRDefault="001E1B79" w:rsidP="00C13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bCs/>
                <w:sz w:val="24"/>
                <w:szCs w:val="24"/>
              </w:rPr>
              <w:t>Цель: Создание условий для развития потенциала молодежи и его реализации в интересах развития Минусинского района</w:t>
            </w: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B79" w:rsidRPr="00E868BD" w:rsidTr="00C13602">
        <w:tc>
          <w:tcPr>
            <w:tcW w:w="585" w:type="dxa"/>
          </w:tcPr>
          <w:p w:rsidR="001E1B79" w:rsidRPr="004E1281" w:rsidRDefault="001E1B79" w:rsidP="00C13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650" w:type="dxa"/>
          </w:tcPr>
          <w:p w:rsidR="001E1B79" w:rsidRPr="004E1281" w:rsidRDefault="001E1B79" w:rsidP="00C136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Доля молодых людей вовлеченных в реализацию молодежных проектов от общего числа молодежи района.</w:t>
            </w:r>
          </w:p>
        </w:tc>
        <w:tc>
          <w:tcPr>
            <w:tcW w:w="1187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02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9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1242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37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2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89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34" w:type="dxa"/>
            <w:vAlign w:val="bottom"/>
          </w:tcPr>
          <w:p w:rsidR="001E1B79" w:rsidRPr="004E1281" w:rsidRDefault="001E1B79" w:rsidP="00C1360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94" w:type="dxa"/>
            <w:vAlign w:val="bottom"/>
          </w:tcPr>
          <w:p w:rsidR="001E1B79" w:rsidRPr="004E1281" w:rsidRDefault="001E1B79" w:rsidP="00C136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8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1637A5" w:rsidRDefault="001637A5">
      <w:bookmarkStart w:id="1" w:name="_GoBack"/>
      <w:bookmarkEnd w:id="1"/>
    </w:p>
    <w:sectPr w:rsidR="001637A5" w:rsidSect="002C72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23"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79"/>
    <w:rsid w:val="001637A5"/>
    <w:rsid w:val="001E1B79"/>
    <w:rsid w:val="002C7274"/>
    <w:rsid w:val="00C3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7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E1B7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E1B79"/>
    <w:pPr>
      <w:widowControl w:val="0"/>
      <w:suppressAutoHyphens/>
      <w:spacing w:after="0" w:line="100" w:lineRule="atLeast"/>
    </w:pPr>
    <w:rPr>
      <w:rFonts w:ascii="Calibri" w:eastAsia="SimSun" w:hAnsi="Calibri" w:cs="font223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E1B79"/>
    <w:pPr>
      <w:widowControl w:val="0"/>
      <w:suppressAutoHyphens/>
      <w:spacing w:after="0" w:line="100" w:lineRule="atLeast"/>
    </w:pPr>
    <w:rPr>
      <w:rFonts w:ascii="Calibri" w:eastAsia="SimSun" w:hAnsi="Calibri" w:cs="font223"/>
      <w:kern w:val="1"/>
      <w:lang w:eastAsia="ar-SA"/>
    </w:rPr>
  </w:style>
  <w:style w:type="paragraph" w:styleId="a3">
    <w:name w:val="List Paragraph"/>
    <w:basedOn w:val="a"/>
    <w:uiPriority w:val="34"/>
    <w:qFormat/>
    <w:rsid w:val="001E1B79"/>
    <w:pPr>
      <w:suppressAutoHyphens w:val="0"/>
      <w:ind w:left="72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E1B79"/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E1B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B79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Emphasis"/>
    <w:qFormat/>
    <w:rsid w:val="001E1B79"/>
    <w:rPr>
      <w:i/>
      <w:iCs/>
    </w:rPr>
  </w:style>
  <w:style w:type="paragraph" w:styleId="a7">
    <w:name w:val="No Spacing"/>
    <w:qFormat/>
    <w:rsid w:val="001E1B7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7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E1B7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E1B79"/>
    <w:pPr>
      <w:widowControl w:val="0"/>
      <w:suppressAutoHyphens/>
      <w:spacing w:after="0" w:line="100" w:lineRule="atLeast"/>
    </w:pPr>
    <w:rPr>
      <w:rFonts w:ascii="Calibri" w:eastAsia="SimSun" w:hAnsi="Calibri" w:cs="font223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E1B79"/>
    <w:pPr>
      <w:widowControl w:val="0"/>
      <w:suppressAutoHyphens/>
      <w:spacing w:after="0" w:line="100" w:lineRule="atLeast"/>
    </w:pPr>
    <w:rPr>
      <w:rFonts w:ascii="Calibri" w:eastAsia="SimSun" w:hAnsi="Calibri" w:cs="font223"/>
      <w:kern w:val="1"/>
      <w:lang w:eastAsia="ar-SA"/>
    </w:rPr>
  </w:style>
  <w:style w:type="paragraph" w:styleId="a3">
    <w:name w:val="List Paragraph"/>
    <w:basedOn w:val="a"/>
    <w:uiPriority w:val="34"/>
    <w:qFormat/>
    <w:rsid w:val="001E1B79"/>
    <w:pPr>
      <w:suppressAutoHyphens w:val="0"/>
      <w:ind w:left="72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E1B79"/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E1B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B79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Emphasis"/>
    <w:qFormat/>
    <w:rsid w:val="001E1B79"/>
    <w:rPr>
      <w:i/>
      <w:iCs/>
    </w:rPr>
  </w:style>
  <w:style w:type="paragraph" w:styleId="a7">
    <w:name w:val="No Spacing"/>
    <w:qFormat/>
    <w:rsid w:val="001E1B7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3</cp:revision>
  <dcterms:created xsi:type="dcterms:W3CDTF">2024-11-08T03:16:00Z</dcterms:created>
  <dcterms:modified xsi:type="dcterms:W3CDTF">2024-11-13T08:43:00Z</dcterms:modified>
</cp:coreProperties>
</file>