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BB" w:rsidRDefault="00CE53BB" w:rsidP="00CE53BB">
      <w:pPr>
        <w:keepNext/>
        <w:tabs>
          <w:tab w:val="center" w:pos="-8364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191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0" t="-117" r="-150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3BB" w:rsidRPr="00446085" w:rsidRDefault="00CE53BB" w:rsidP="00CE53BB">
      <w:pPr>
        <w:keepNext/>
        <w:tabs>
          <w:tab w:val="center" w:pos="-8364"/>
        </w:tabs>
        <w:jc w:val="center"/>
        <w:rPr>
          <w:lang w:eastAsia="ru-RU"/>
        </w:rPr>
      </w:pPr>
    </w:p>
    <w:p w:rsidR="00CE53BB" w:rsidRPr="00B2524D" w:rsidRDefault="00CE53BB" w:rsidP="00CE53BB">
      <w:pPr>
        <w:keepNext/>
        <w:jc w:val="center"/>
      </w:pPr>
      <w:r w:rsidRPr="00B2524D">
        <w:rPr>
          <w:sz w:val="32"/>
          <w:szCs w:val="28"/>
          <w:lang w:eastAsia="ru-RU"/>
        </w:rPr>
        <w:t>АДМИНИСТРАЦИЯ МИНУСИНСКОГО РАЙОНА</w:t>
      </w:r>
    </w:p>
    <w:p w:rsidR="00CE53BB" w:rsidRDefault="00CE53BB" w:rsidP="00CE53BB">
      <w:pPr>
        <w:keepNext/>
        <w:jc w:val="center"/>
        <w:rPr>
          <w:b/>
          <w:lang w:eastAsia="ru-RU"/>
        </w:rPr>
      </w:pPr>
    </w:p>
    <w:p w:rsidR="00CE53BB" w:rsidRPr="00943DB6" w:rsidRDefault="00CE53BB" w:rsidP="00CE53BB">
      <w:pPr>
        <w:keepNext/>
        <w:jc w:val="center"/>
        <w:rPr>
          <w:b/>
        </w:rPr>
      </w:pPr>
      <w:r w:rsidRPr="00943DB6">
        <w:rPr>
          <w:b/>
          <w:sz w:val="48"/>
          <w:szCs w:val="48"/>
          <w:lang w:eastAsia="ru-RU"/>
        </w:rPr>
        <w:t>ПОСТАНОВЛЕНИЕ</w:t>
      </w:r>
    </w:p>
    <w:p w:rsidR="00CE53BB" w:rsidRDefault="00CE53BB" w:rsidP="00CE53BB">
      <w:pPr>
        <w:keepNext/>
        <w:jc w:val="center"/>
        <w:rPr>
          <w:b/>
          <w:sz w:val="28"/>
          <w:szCs w:val="28"/>
          <w:lang w:eastAsia="ru-RU"/>
        </w:rPr>
      </w:pPr>
    </w:p>
    <w:p w:rsidR="00CE53BB" w:rsidRPr="00EC0FDC" w:rsidRDefault="00EC0FDC" w:rsidP="00CE53BB">
      <w:pPr>
        <w:rPr>
          <w:sz w:val="28"/>
          <w:szCs w:val="28"/>
        </w:rPr>
      </w:pPr>
      <w:r w:rsidRPr="00EC0FDC">
        <w:rPr>
          <w:sz w:val="28"/>
          <w:szCs w:val="28"/>
        </w:rPr>
        <w:t>08.11.2024</w:t>
      </w:r>
      <w:r w:rsidR="00CE53BB" w:rsidRPr="00EC0FDC">
        <w:rPr>
          <w:sz w:val="28"/>
          <w:szCs w:val="28"/>
        </w:rPr>
        <w:tab/>
      </w:r>
      <w:r w:rsidR="00CE53BB" w:rsidRPr="00EC0FDC">
        <w:rPr>
          <w:sz w:val="28"/>
          <w:szCs w:val="28"/>
        </w:rPr>
        <w:tab/>
      </w:r>
      <w:r w:rsidR="00CE53BB" w:rsidRPr="00EC0FDC">
        <w:rPr>
          <w:sz w:val="28"/>
          <w:szCs w:val="28"/>
        </w:rPr>
        <w:tab/>
        <w:t xml:space="preserve">         г. Минусинск</w:t>
      </w:r>
      <w:r w:rsidR="00CE53BB" w:rsidRPr="00EC0FDC">
        <w:rPr>
          <w:sz w:val="28"/>
          <w:szCs w:val="28"/>
        </w:rPr>
        <w:tab/>
      </w:r>
      <w:r w:rsidR="00CE53BB" w:rsidRPr="00EC0FDC">
        <w:rPr>
          <w:sz w:val="28"/>
          <w:szCs w:val="28"/>
        </w:rPr>
        <w:tab/>
      </w:r>
      <w:r w:rsidR="00CE53BB" w:rsidRPr="00EC0FDC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EC0FDC">
        <w:rPr>
          <w:sz w:val="28"/>
          <w:szCs w:val="28"/>
        </w:rPr>
        <w:t>№ 941-п</w:t>
      </w:r>
    </w:p>
    <w:p w:rsidR="00CE53BB" w:rsidRDefault="00CE53BB" w:rsidP="00CE53BB">
      <w:pPr>
        <w:rPr>
          <w:sz w:val="28"/>
          <w:szCs w:val="28"/>
        </w:rPr>
      </w:pPr>
    </w:p>
    <w:p w:rsidR="00CE53BB" w:rsidRDefault="00CE53BB" w:rsidP="00CE53BB">
      <w:pPr>
        <w:rPr>
          <w:sz w:val="28"/>
          <w:szCs w:val="28"/>
        </w:rPr>
      </w:pPr>
    </w:p>
    <w:p w:rsidR="00CE53BB" w:rsidRPr="008211CA" w:rsidRDefault="00CE53BB" w:rsidP="00CE53BB">
      <w:pPr>
        <w:rPr>
          <w:sz w:val="28"/>
          <w:szCs w:val="28"/>
        </w:rPr>
      </w:pPr>
      <w:r w:rsidRPr="008211CA">
        <w:rPr>
          <w:sz w:val="28"/>
          <w:szCs w:val="28"/>
        </w:rPr>
        <w:t xml:space="preserve">О внесении изменений в муниципальную программу Минусинского района «Развитие культуры в Минусинском районе», утвержденную постановлением администрации Минусинского района </w:t>
      </w:r>
      <w:r w:rsidRPr="008211CA">
        <w:rPr>
          <w:color w:val="000000"/>
          <w:sz w:val="28"/>
          <w:szCs w:val="28"/>
        </w:rPr>
        <w:t xml:space="preserve">от 31.10.2013 № 884-п </w:t>
      </w:r>
    </w:p>
    <w:p w:rsidR="00CE53BB" w:rsidRDefault="00CE53BB" w:rsidP="00CE53BB">
      <w:pPr>
        <w:ind w:firstLine="709"/>
        <w:rPr>
          <w:sz w:val="28"/>
          <w:szCs w:val="28"/>
        </w:rPr>
      </w:pPr>
    </w:p>
    <w:p w:rsidR="00CE53BB" w:rsidRPr="008211CA" w:rsidRDefault="00CE53BB" w:rsidP="00CE53BB">
      <w:pPr>
        <w:ind w:firstLine="709"/>
        <w:rPr>
          <w:sz w:val="28"/>
          <w:szCs w:val="28"/>
        </w:rPr>
      </w:pPr>
    </w:p>
    <w:p w:rsidR="00CE53BB" w:rsidRDefault="00CE53BB" w:rsidP="00CE53BB">
      <w:pPr>
        <w:ind w:firstLine="709"/>
        <w:rPr>
          <w:sz w:val="28"/>
          <w:szCs w:val="28"/>
        </w:rPr>
      </w:pPr>
      <w:r w:rsidRPr="008211CA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реализации», руководствуясь статьями 29.3, 31 Устава Минусинского района Красноярского края, ПОСТАНОВЛЯЮ:</w:t>
      </w:r>
    </w:p>
    <w:p w:rsidR="00CE53BB" w:rsidRPr="008211CA" w:rsidRDefault="00CE53BB" w:rsidP="00CE53BB">
      <w:pPr>
        <w:keepNext/>
        <w:ind w:firstLine="709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1</w:t>
      </w:r>
      <w:r w:rsidRPr="008211CA">
        <w:rPr>
          <w:rFonts w:eastAsia="Calibri"/>
          <w:sz w:val="28"/>
          <w:szCs w:val="28"/>
          <w:lang w:eastAsia="zh-CN"/>
        </w:rPr>
        <w:t>. Внести изменения в муниципальную программу Минусинского района «</w:t>
      </w:r>
      <w:r w:rsidRPr="008211CA">
        <w:rPr>
          <w:sz w:val="28"/>
          <w:szCs w:val="28"/>
        </w:rPr>
        <w:t xml:space="preserve">Развитие культуры в Минусинском районе», утвержденную постановлением администрации Минусинского района </w:t>
      </w:r>
      <w:r w:rsidRPr="008211CA">
        <w:rPr>
          <w:color w:val="000000"/>
          <w:sz w:val="28"/>
          <w:szCs w:val="28"/>
        </w:rPr>
        <w:t xml:space="preserve">от 31.10.2013 </w:t>
      </w:r>
      <w:r>
        <w:rPr>
          <w:color w:val="000000"/>
          <w:sz w:val="28"/>
          <w:szCs w:val="28"/>
        </w:rPr>
        <w:t xml:space="preserve">                 </w:t>
      </w:r>
      <w:r w:rsidRPr="008211CA">
        <w:rPr>
          <w:color w:val="000000"/>
          <w:sz w:val="28"/>
          <w:szCs w:val="28"/>
        </w:rPr>
        <w:t>№ 884-п</w:t>
      </w:r>
      <w:r w:rsidRPr="008211CA">
        <w:rPr>
          <w:iCs/>
          <w:sz w:val="28"/>
          <w:szCs w:val="28"/>
        </w:rPr>
        <w:t>,</w:t>
      </w:r>
      <w:r w:rsidRPr="008211CA">
        <w:rPr>
          <w:rFonts w:eastAsia="Calibri"/>
          <w:sz w:val="28"/>
          <w:szCs w:val="28"/>
          <w:lang w:eastAsia="zh-CN"/>
        </w:rPr>
        <w:t xml:space="preserve"> изложив в редакции</w:t>
      </w:r>
      <w:r>
        <w:rPr>
          <w:rFonts w:eastAsia="Calibri"/>
          <w:sz w:val="28"/>
          <w:szCs w:val="28"/>
          <w:lang w:eastAsia="zh-CN"/>
        </w:rPr>
        <w:t>,</w:t>
      </w:r>
      <w:r w:rsidRPr="008211CA">
        <w:rPr>
          <w:rFonts w:eastAsia="Calibri"/>
          <w:sz w:val="28"/>
          <w:szCs w:val="28"/>
          <w:lang w:eastAsia="zh-CN"/>
        </w:rPr>
        <w:t xml:space="preserve"> согласно приложению к настоящему постановлению.</w:t>
      </w:r>
    </w:p>
    <w:p w:rsidR="00CE53BB" w:rsidRDefault="00CE53BB" w:rsidP="00CE53BB">
      <w:pPr>
        <w:ind w:firstLine="709"/>
        <w:rPr>
          <w:b/>
          <w:i/>
          <w:iCs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по социальным вопросам Н.В. Ефремову</w:t>
      </w:r>
      <w:r>
        <w:rPr>
          <w:iCs/>
          <w:sz w:val="28"/>
          <w:szCs w:val="28"/>
        </w:rPr>
        <w:t>.</w:t>
      </w:r>
    </w:p>
    <w:p w:rsidR="00CE53BB" w:rsidRDefault="00CE53BB" w:rsidP="00CE53BB">
      <w:pPr>
        <w:ind w:firstLine="709"/>
        <w:rPr>
          <w:sz w:val="28"/>
          <w:szCs w:val="28"/>
        </w:rPr>
      </w:pPr>
      <w:r>
        <w:rPr>
          <w:iCs/>
          <w:sz w:val="28"/>
          <w:szCs w:val="28"/>
        </w:rPr>
        <w:t>3. Постановление вступает в силу в день, следующий за днем его  официального опубликования в газете «Власть труда» и подлежит размещению на официальном сайте администрации Минусинского района в сети «Интернет» в разделе «Финансы», подраздел «Муниципальные программы - Программы» и применяется к правоотношениям, возникшим с 01.01.2025.</w:t>
      </w:r>
    </w:p>
    <w:p w:rsidR="00CE53BB" w:rsidRDefault="00CE53BB" w:rsidP="00CE53BB">
      <w:pPr>
        <w:rPr>
          <w:sz w:val="28"/>
          <w:szCs w:val="28"/>
        </w:rPr>
      </w:pPr>
    </w:p>
    <w:p w:rsidR="00CE53BB" w:rsidRDefault="00CE53BB" w:rsidP="00CE53BB">
      <w:pPr>
        <w:rPr>
          <w:sz w:val="28"/>
          <w:szCs w:val="28"/>
        </w:rPr>
      </w:pPr>
    </w:p>
    <w:p w:rsidR="00CE53BB" w:rsidRPr="008211CA" w:rsidRDefault="00CE53BB" w:rsidP="00CE53BB">
      <w:pPr>
        <w:rPr>
          <w:sz w:val="28"/>
          <w:szCs w:val="28"/>
        </w:rPr>
      </w:pPr>
      <w:r>
        <w:rPr>
          <w:sz w:val="28"/>
          <w:szCs w:val="28"/>
        </w:rPr>
        <w:t>Гл</w:t>
      </w:r>
      <w:r w:rsidRPr="008211CA">
        <w:rPr>
          <w:sz w:val="28"/>
          <w:szCs w:val="28"/>
        </w:rPr>
        <w:t>ав</w:t>
      </w:r>
      <w:r>
        <w:rPr>
          <w:sz w:val="28"/>
          <w:szCs w:val="28"/>
        </w:rPr>
        <w:t>а</w:t>
      </w:r>
      <w:r w:rsidRPr="008211CA">
        <w:rPr>
          <w:sz w:val="28"/>
          <w:szCs w:val="28"/>
        </w:rPr>
        <w:t xml:space="preserve"> района</w:t>
      </w:r>
      <w:r w:rsidRPr="008211CA">
        <w:rPr>
          <w:sz w:val="28"/>
          <w:szCs w:val="28"/>
        </w:rPr>
        <w:tab/>
      </w:r>
      <w:r w:rsidRPr="008211CA">
        <w:rPr>
          <w:sz w:val="28"/>
          <w:szCs w:val="28"/>
        </w:rPr>
        <w:tab/>
      </w:r>
      <w:r w:rsidRPr="008211CA">
        <w:rPr>
          <w:sz w:val="28"/>
          <w:szCs w:val="28"/>
        </w:rPr>
        <w:tab/>
        <w:t xml:space="preserve">       </w:t>
      </w:r>
      <w:r w:rsidRPr="008211CA">
        <w:rPr>
          <w:sz w:val="28"/>
          <w:szCs w:val="28"/>
        </w:rPr>
        <w:tab/>
      </w:r>
      <w:r w:rsidRPr="008211CA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</w:t>
      </w:r>
      <w:r w:rsidRPr="008211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8211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С.И. Глухов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CE53BB" w:rsidRPr="00BD0708" w:rsidTr="00F565FA">
        <w:tc>
          <w:tcPr>
            <w:tcW w:w="4219" w:type="dxa"/>
          </w:tcPr>
          <w:p w:rsidR="00CE53BB" w:rsidRPr="00CB5DE8" w:rsidRDefault="00CE53BB" w:rsidP="00F565F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387" w:type="dxa"/>
          </w:tcPr>
          <w:p w:rsidR="00CE53BB" w:rsidRPr="00CB5DE8" w:rsidRDefault="00CE53BB" w:rsidP="00F565FA">
            <w:pPr>
              <w:pStyle w:val="1"/>
              <w:spacing w:before="0" w:after="0"/>
              <w:ind w:left="1735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CB5DE8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Приложение </w:t>
            </w:r>
          </w:p>
          <w:p w:rsidR="00CE53BB" w:rsidRPr="00CB5DE8" w:rsidRDefault="00CE53BB" w:rsidP="00F565FA">
            <w:pPr>
              <w:pStyle w:val="1"/>
              <w:spacing w:before="0" w:after="0"/>
              <w:ind w:left="1735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CB5DE8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к постановлению администрации Минусинского района </w:t>
            </w:r>
          </w:p>
          <w:p w:rsidR="00CE53BB" w:rsidRPr="00EC0FDC" w:rsidRDefault="00CE53BB" w:rsidP="00F565FA">
            <w:pPr>
              <w:pStyle w:val="1"/>
              <w:spacing w:before="0" w:after="0"/>
              <w:ind w:left="1735"/>
              <w:jc w:val="left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  <w:r w:rsidRPr="00EC0FDC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 xml:space="preserve">от </w:t>
            </w:r>
            <w:r w:rsidR="00EC0FDC" w:rsidRPr="00EC0FDC">
              <w:rPr>
                <w:b w:val="0"/>
                <w:sz w:val="22"/>
                <w:szCs w:val="22"/>
              </w:rPr>
              <w:t>08.11.2024</w:t>
            </w:r>
            <w:r w:rsidRPr="00EC0FDC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 xml:space="preserve"> № </w:t>
            </w:r>
            <w:r w:rsidR="00EC0FDC" w:rsidRPr="00EC0FDC">
              <w:rPr>
                <w:b w:val="0"/>
                <w:sz w:val="22"/>
                <w:szCs w:val="22"/>
              </w:rPr>
              <w:t>941-п</w:t>
            </w:r>
          </w:p>
        </w:tc>
      </w:tr>
    </w:tbl>
    <w:p w:rsidR="00CE53BB" w:rsidRPr="00BD0708" w:rsidRDefault="00CE53BB" w:rsidP="00CE53B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CE53BB" w:rsidRPr="004056A3" w:rsidRDefault="00CE53BB" w:rsidP="00CE53BB">
      <w:pPr>
        <w:pStyle w:val="1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r w:rsidRPr="004056A3">
        <w:rPr>
          <w:rFonts w:ascii="Times New Roman" w:hAnsi="Times New Roman"/>
          <w:b w:val="0"/>
          <w:sz w:val="24"/>
          <w:szCs w:val="24"/>
        </w:rPr>
        <w:t>Муниципальная программа Минусинского района</w:t>
      </w:r>
    </w:p>
    <w:p w:rsidR="00CE53BB" w:rsidRPr="004056A3" w:rsidRDefault="00CE53BB" w:rsidP="00CE53BB">
      <w:pPr>
        <w:pStyle w:val="1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r w:rsidRPr="004056A3">
        <w:rPr>
          <w:rFonts w:ascii="Times New Roman" w:hAnsi="Times New Roman"/>
          <w:b w:val="0"/>
          <w:sz w:val="24"/>
          <w:szCs w:val="24"/>
        </w:rPr>
        <w:t>«Развитие культуры</w:t>
      </w:r>
      <w:r>
        <w:rPr>
          <w:rFonts w:ascii="Times New Roman" w:hAnsi="Times New Roman"/>
          <w:b w:val="0"/>
          <w:sz w:val="24"/>
          <w:szCs w:val="24"/>
        </w:rPr>
        <w:t xml:space="preserve"> в Минусинском районе</w:t>
      </w:r>
      <w:r w:rsidRPr="004056A3">
        <w:rPr>
          <w:rFonts w:ascii="Times New Roman" w:hAnsi="Times New Roman"/>
          <w:b w:val="0"/>
          <w:sz w:val="24"/>
          <w:szCs w:val="24"/>
        </w:rPr>
        <w:t>»</w:t>
      </w:r>
    </w:p>
    <w:p w:rsidR="00CE53BB" w:rsidRPr="003C2993" w:rsidRDefault="00CE53BB" w:rsidP="00CE53BB">
      <w:pPr>
        <w:pStyle w:val="2"/>
        <w:spacing w:before="0" w:after="0"/>
        <w:jc w:val="center"/>
        <w:rPr>
          <w:rFonts w:ascii="Times New Roman" w:hAnsi="Times New Roman"/>
          <w:b w:val="0"/>
          <w:bCs w:val="0"/>
          <w:iCs w:val="0"/>
          <w:sz w:val="24"/>
          <w:szCs w:val="24"/>
        </w:rPr>
      </w:pPr>
      <w:bookmarkStart w:id="0" w:name="_Toc366058668"/>
      <w:bookmarkStart w:id="1" w:name="_Toc366058951"/>
    </w:p>
    <w:p w:rsidR="00CE53BB" w:rsidRPr="003C2993" w:rsidRDefault="00CE53BB" w:rsidP="00CE53BB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3C2993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1.</w:t>
      </w:r>
      <w:r w:rsidRPr="003C2993">
        <w:rPr>
          <w:rFonts w:ascii="Times New Roman" w:hAnsi="Times New Roman"/>
          <w:b w:val="0"/>
          <w:i w:val="0"/>
          <w:sz w:val="24"/>
          <w:szCs w:val="24"/>
        </w:rPr>
        <w:t xml:space="preserve"> Паспорт</w:t>
      </w:r>
    </w:p>
    <w:p w:rsidR="00CE53BB" w:rsidRPr="00373B05" w:rsidRDefault="00CE53BB" w:rsidP="00CE53BB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 w:rsidRPr="003C2993">
        <w:rPr>
          <w:rFonts w:ascii="Times New Roman" w:hAnsi="Times New Roman"/>
          <w:b w:val="0"/>
          <w:i w:val="0"/>
          <w:sz w:val="24"/>
          <w:szCs w:val="24"/>
        </w:rPr>
        <w:t xml:space="preserve">муниципальной программы </w:t>
      </w:r>
      <w:bookmarkStart w:id="2" w:name="_GoBack"/>
      <w:bookmarkEnd w:id="0"/>
      <w:bookmarkEnd w:id="1"/>
      <w:bookmarkEnd w:id="2"/>
    </w:p>
    <w:p w:rsidR="00CE53BB" w:rsidRPr="00BD0708" w:rsidRDefault="00CE53BB" w:rsidP="00CE53BB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CE53BB" w:rsidRPr="00BD0708" w:rsidTr="00F565FA">
        <w:tc>
          <w:tcPr>
            <w:tcW w:w="3060" w:type="dxa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CE53BB" w:rsidRPr="00BD0708" w:rsidRDefault="00CE53BB" w:rsidP="00F565FA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056A3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культуры в Минусинском районе» (далее – программа)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CE53BB" w:rsidRPr="00BD0708" w:rsidTr="00F565FA">
        <w:tc>
          <w:tcPr>
            <w:tcW w:w="3060" w:type="dxa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300" w:type="dxa"/>
          </w:tcPr>
          <w:p w:rsidR="00CE53BB" w:rsidRPr="00BD0708" w:rsidRDefault="00CE53BB" w:rsidP="00F565FA">
            <w:pPr>
              <w:suppressAutoHyphens w:val="0"/>
              <w:autoSpaceDE w:val="0"/>
              <w:autoSpaceDN w:val="0"/>
              <w:adjustRightInd w:val="0"/>
              <w:jc w:val="left"/>
            </w:pPr>
            <w:r w:rsidRPr="00BD0708">
              <w:t>1.Статья 179 Бюджетного кодекса РФ.</w:t>
            </w:r>
          </w:p>
          <w:p w:rsidR="00CE53BB" w:rsidRPr="00BD0708" w:rsidRDefault="00CE53BB" w:rsidP="00F565FA">
            <w:pPr>
              <w:suppressAutoHyphens w:val="0"/>
              <w:autoSpaceDE w:val="0"/>
              <w:autoSpaceDN w:val="0"/>
              <w:adjustRightInd w:val="0"/>
            </w:pPr>
            <w:r w:rsidRPr="00BD0708">
              <w:t>2.Постановление администрации Минусинского района от 0</w:t>
            </w:r>
            <w:r>
              <w:t>4</w:t>
            </w:r>
            <w:r w:rsidRPr="00BD0708">
              <w:t>.1</w:t>
            </w:r>
            <w:r>
              <w:t>0</w:t>
            </w:r>
            <w:r w:rsidRPr="00BD0708">
              <w:t>.201</w:t>
            </w:r>
            <w:r>
              <w:t>9</w:t>
            </w:r>
            <w:r w:rsidRPr="00BD0708">
              <w:t xml:space="preserve"> № </w:t>
            </w:r>
            <w:r>
              <w:t>686</w:t>
            </w:r>
            <w:r w:rsidRPr="00BD0708">
              <w:t>-п «Об утверждении Порядка принятия решений о разработке муниципальных программ Минусинского района, их формировании и реализации».</w:t>
            </w:r>
          </w:p>
          <w:p w:rsidR="00CE53BB" w:rsidRPr="00BD0708" w:rsidRDefault="00CE53BB" w:rsidP="00F565FA">
            <w:pPr>
              <w:suppressAutoHyphens w:val="0"/>
              <w:autoSpaceDE w:val="0"/>
              <w:autoSpaceDN w:val="0"/>
              <w:adjustRightInd w:val="0"/>
            </w:pPr>
            <w:r w:rsidRPr="00BD0708">
              <w:t>3.</w:t>
            </w:r>
            <w:r w:rsidRPr="00E868BD">
              <w:t xml:space="preserve"> Постановление администрации Минусинского района от </w:t>
            </w:r>
            <w:r>
              <w:t>04</w:t>
            </w:r>
            <w:r w:rsidRPr="00E868BD">
              <w:t>.</w:t>
            </w:r>
            <w:r>
              <w:t>10</w:t>
            </w:r>
            <w:r w:rsidRPr="00E868BD">
              <w:t>.20</w:t>
            </w:r>
            <w:r>
              <w:t>24</w:t>
            </w:r>
            <w:r w:rsidRPr="00E868BD">
              <w:t xml:space="preserve"> № </w:t>
            </w:r>
            <w:r>
              <w:t>846</w:t>
            </w:r>
            <w:r w:rsidRPr="00E868BD">
              <w:t>-п «Об утверждении перечня муниципальных программ Минусинского района на 20</w:t>
            </w:r>
            <w:r>
              <w:t>25</w:t>
            </w:r>
            <w:r w:rsidRPr="00E868BD">
              <w:t xml:space="preserve"> год».</w:t>
            </w:r>
          </w:p>
        </w:tc>
      </w:tr>
      <w:tr w:rsidR="00CE53BB" w:rsidRPr="00BD0708" w:rsidTr="00F565FA">
        <w:tc>
          <w:tcPr>
            <w:tcW w:w="3060" w:type="dxa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00" w:type="dxa"/>
          </w:tcPr>
          <w:p w:rsidR="00CE53BB" w:rsidRDefault="00CE53BB" w:rsidP="00F56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Отдел  культуры, спорта, туризма и молодежной политики администрации Минусинского района</w:t>
            </w:r>
          </w:p>
          <w:p w:rsidR="00CE53BB" w:rsidRPr="00BD0708" w:rsidRDefault="00CE53BB" w:rsidP="00F565F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proofErr w:type="spellStart"/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ОКСТиМП</w:t>
            </w:r>
            <w:proofErr w:type="spellEnd"/>
            <w:r w:rsidRPr="00BD0708">
              <w:rPr>
                <w:rFonts w:ascii="Times New Roman" w:hAnsi="Times New Roman" w:cs="Times New Roman"/>
                <w:sz w:val="24"/>
                <w:szCs w:val="24"/>
              </w:rPr>
              <w:t xml:space="preserve"> АМР).</w:t>
            </w:r>
          </w:p>
        </w:tc>
      </w:tr>
      <w:tr w:rsidR="00CE53BB" w:rsidRPr="00BD0708" w:rsidTr="00F565FA">
        <w:tc>
          <w:tcPr>
            <w:tcW w:w="3060" w:type="dxa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300" w:type="dxa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МБУК «МЦКС 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53BB" w:rsidRPr="00BD0708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Тесинский</w:t>
            </w:r>
            <w:proofErr w:type="spellEnd"/>
            <w:r w:rsidRPr="00BD0708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художественный музей»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53BB" w:rsidRPr="00BD0708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МБУК «МБС» Минусинского района</w:t>
            </w:r>
          </w:p>
        </w:tc>
      </w:tr>
      <w:tr w:rsidR="00CE53BB" w:rsidRPr="00BD0708" w:rsidTr="00F565FA">
        <w:tc>
          <w:tcPr>
            <w:tcW w:w="3060" w:type="dxa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00" w:type="dxa"/>
          </w:tcPr>
          <w:p w:rsidR="00CE53BB" w:rsidRPr="00CE66B8" w:rsidRDefault="00CE53BB" w:rsidP="00F565FA">
            <w:pPr>
              <w:pStyle w:val="ConsPlusCell"/>
              <w:jc w:val="both"/>
            </w:pPr>
            <w:r w:rsidRPr="00CE66B8">
              <w:t xml:space="preserve">1. Сохранение культурного наследия и развитие культурно-досуговой деятельности; </w:t>
            </w:r>
          </w:p>
          <w:p w:rsidR="00CE53BB" w:rsidRPr="00CE66B8" w:rsidRDefault="00CE53BB" w:rsidP="00F565FA">
            <w:pPr>
              <w:pStyle w:val="ConsPlusCell"/>
              <w:jc w:val="both"/>
            </w:pPr>
            <w:r w:rsidRPr="00CE66B8">
              <w:t>2. Организация библиотечного обслуживания населения Минусинского района;</w:t>
            </w:r>
          </w:p>
          <w:p w:rsidR="00CE53BB" w:rsidRDefault="00CE53BB" w:rsidP="00F565FA">
            <w:pPr>
              <w:pStyle w:val="ConsPlusCell"/>
              <w:jc w:val="both"/>
            </w:pPr>
            <w:r w:rsidRPr="00CE66B8">
              <w:t>3. Обеспечение реализации муниципальной программы и прочие мероприятия</w:t>
            </w:r>
            <w:r>
              <w:t>;</w:t>
            </w:r>
          </w:p>
          <w:p w:rsidR="00CE53BB" w:rsidRPr="00BD0708" w:rsidRDefault="00CE53BB" w:rsidP="00F565FA">
            <w:pPr>
              <w:pStyle w:val="ConsPlusCell"/>
              <w:jc w:val="both"/>
              <w:rPr>
                <w:highlight w:val="yellow"/>
              </w:rPr>
            </w:pPr>
            <w:r>
              <w:t>4. Организация и проведение праздничных мероприятий, посвященных 80-летию Победы ВОВ 1941-1945 годов.</w:t>
            </w:r>
          </w:p>
        </w:tc>
      </w:tr>
      <w:tr w:rsidR="00CE53BB" w:rsidRPr="00BD0708" w:rsidTr="00F565FA">
        <w:tc>
          <w:tcPr>
            <w:tcW w:w="3060" w:type="dxa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00" w:type="dxa"/>
          </w:tcPr>
          <w:p w:rsidR="00CE53BB" w:rsidRPr="00BD0708" w:rsidRDefault="00CE53BB" w:rsidP="00F565FA">
            <w:pPr>
              <w:jc w:val="left"/>
            </w:pPr>
            <w:r w:rsidRPr="00BD0708">
              <w:t>Создание условий для развития и реализации культурного и духовного потенциала населения Минусинского района</w:t>
            </w:r>
            <w:r>
              <w:t>.</w:t>
            </w:r>
          </w:p>
        </w:tc>
      </w:tr>
      <w:tr w:rsidR="00CE53BB" w:rsidRPr="00BD0708" w:rsidTr="00F565FA">
        <w:tc>
          <w:tcPr>
            <w:tcW w:w="3060" w:type="dxa"/>
          </w:tcPr>
          <w:p w:rsidR="00CE53BB" w:rsidRPr="00BD0708" w:rsidRDefault="00CE53BB" w:rsidP="00F565FA">
            <w:pPr>
              <w:pStyle w:val="ConsPlusCell"/>
            </w:pPr>
            <w:r w:rsidRPr="00BD0708">
              <w:t>Задачи муниципальной программы</w:t>
            </w:r>
          </w:p>
        </w:tc>
        <w:tc>
          <w:tcPr>
            <w:tcW w:w="6300" w:type="dxa"/>
          </w:tcPr>
          <w:p w:rsidR="00CE53BB" w:rsidRPr="00BD0708" w:rsidRDefault="00CE53BB" w:rsidP="00F565FA">
            <w:pPr>
              <w:pStyle w:val="ConsPlusCell"/>
              <w:jc w:val="both"/>
            </w:pPr>
            <w:r w:rsidRPr="00BD0708">
              <w:t>1.</w:t>
            </w:r>
            <w:r>
              <w:t xml:space="preserve"> </w:t>
            </w:r>
            <w:r w:rsidRPr="00BD0708">
              <w:t>Сохранить единое культурное пространство Минусинского района, совершенствовать самодеятельное художественное творчество, повысить качество и доступность к культурным услугам.</w:t>
            </w:r>
          </w:p>
          <w:p w:rsidR="00CE53BB" w:rsidRDefault="00CE53BB" w:rsidP="00F565FA">
            <w:pPr>
              <w:pStyle w:val="ConsPlusCell"/>
              <w:jc w:val="both"/>
            </w:pPr>
            <w:r>
              <w:t xml:space="preserve">2. </w:t>
            </w:r>
            <w:r w:rsidRPr="00BD0708">
              <w:t>Повысить качество и доступность библиотечных услуг для населения района, с использованием современных информационно-коммуникационных технологий и электронных продуктов.</w:t>
            </w:r>
          </w:p>
          <w:p w:rsidR="00CE53BB" w:rsidRDefault="00CE53BB" w:rsidP="00F565FA">
            <w:pPr>
              <w:pStyle w:val="ConsPlusCell"/>
              <w:jc w:val="both"/>
            </w:pPr>
            <w:r w:rsidRPr="009847A7">
              <w:t xml:space="preserve">3. Создать условия для исполнения утвержденных бюджетных назначений </w:t>
            </w:r>
            <w:proofErr w:type="spellStart"/>
            <w:r w:rsidRPr="009847A7">
              <w:t>ОКСТиМП</w:t>
            </w:r>
            <w:proofErr w:type="spellEnd"/>
            <w:r w:rsidRPr="009847A7">
              <w:t xml:space="preserve"> АМР и всех подведомственных учреждений, в рамках выполнения установленных функций и полномочий.</w:t>
            </w:r>
          </w:p>
          <w:p w:rsidR="00CE53BB" w:rsidRPr="00BD0708" w:rsidRDefault="00CE53BB" w:rsidP="00F565FA">
            <w:pPr>
              <w:tabs>
                <w:tab w:val="left" w:pos="0"/>
              </w:tabs>
            </w:pPr>
            <w:r w:rsidRPr="00412D06">
              <w:lastRenderedPageBreak/>
              <w:t>4.</w:t>
            </w:r>
            <w:r w:rsidRPr="00412D06">
              <w:rPr>
                <w:color w:val="FF0000"/>
              </w:rPr>
              <w:t xml:space="preserve"> </w:t>
            </w:r>
            <w:r w:rsidRPr="00614B8C">
              <w:rPr>
                <w:color w:val="000000"/>
                <w:shd w:val="clear" w:color="auto" w:fill="FFFFFF"/>
              </w:rPr>
              <w:t xml:space="preserve">Сохранить историческое наследие, воспитать патриотические чувства, увековечить память о воинах, погибших в </w:t>
            </w:r>
            <w:r w:rsidRPr="00614B8C">
              <w:t>годы Великой Отечественной войны</w:t>
            </w:r>
          </w:p>
        </w:tc>
      </w:tr>
      <w:tr w:rsidR="00CE53BB" w:rsidRPr="00CD5AC2" w:rsidTr="00F565FA">
        <w:tc>
          <w:tcPr>
            <w:tcW w:w="3060" w:type="dxa"/>
          </w:tcPr>
          <w:p w:rsidR="00CE53BB" w:rsidRPr="00CD5AC2" w:rsidRDefault="00CE53BB" w:rsidP="00F565FA">
            <w:pPr>
              <w:pStyle w:val="ConsPlusCell"/>
            </w:pPr>
            <w:r w:rsidRPr="00CD5AC2">
              <w:lastRenderedPageBreak/>
              <w:t>Этапы и сроки реализации муниципальной программы</w:t>
            </w:r>
          </w:p>
        </w:tc>
        <w:tc>
          <w:tcPr>
            <w:tcW w:w="6300" w:type="dxa"/>
          </w:tcPr>
          <w:p w:rsidR="00CE53BB" w:rsidRPr="00CD5AC2" w:rsidRDefault="00CE53BB" w:rsidP="00F565FA">
            <w:pPr>
              <w:pStyle w:val="ConsPlusCell"/>
            </w:pPr>
            <w:r w:rsidRPr="00CD5AC2">
              <w:t>Сроки реализации муниципальной программы:</w:t>
            </w:r>
          </w:p>
          <w:p w:rsidR="00CE53BB" w:rsidRPr="00CD5AC2" w:rsidRDefault="00CE53BB" w:rsidP="00F565FA">
            <w:pPr>
              <w:pStyle w:val="ConsPlusCell"/>
            </w:pPr>
            <w:r w:rsidRPr="00CD5AC2">
              <w:t>2014-2030 годы</w:t>
            </w:r>
          </w:p>
          <w:p w:rsidR="00CE53BB" w:rsidRPr="00CD5AC2" w:rsidRDefault="00CE53BB" w:rsidP="00F565FA">
            <w:pPr>
              <w:pStyle w:val="ConsPlusCell"/>
              <w:jc w:val="both"/>
            </w:pPr>
            <w:r w:rsidRPr="00CD5AC2">
              <w:t>Этапы реализации муници</w:t>
            </w:r>
            <w:r>
              <w:t>пальной программы не выделяются.</w:t>
            </w:r>
          </w:p>
        </w:tc>
      </w:tr>
      <w:tr w:rsidR="00CE53BB" w:rsidRPr="00BD0708" w:rsidTr="00F565FA">
        <w:tc>
          <w:tcPr>
            <w:tcW w:w="3060" w:type="dxa"/>
          </w:tcPr>
          <w:p w:rsidR="00CE53BB" w:rsidRPr="00BD0708" w:rsidRDefault="00EC0FDC" w:rsidP="00F565FA">
            <w:pPr>
              <w:pStyle w:val="ConsPlusCell"/>
            </w:pPr>
            <w:hyperlink w:anchor="P410" w:history="1">
              <w:r w:rsidR="00CE53BB" w:rsidRPr="00BD0708">
                <w:t>Перечень</w:t>
              </w:r>
            </w:hyperlink>
            <w:r w:rsidR="00CE53BB" w:rsidRPr="00BD0708">
              <w:t xml:space="preserve"> целевых показателей муниципальной программы, с указанием планируемых к достижению значений в результате реализации муниципальной программы Минусинского района</w:t>
            </w:r>
          </w:p>
        </w:tc>
        <w:tc>
          <w:tcPr>
            <w:tcW w:w="6300" w:type="dxa"/>
          </w:tcPr>
          <w:p w:rsidR="00CE53BB" w:rsidRPr="009574DF" w:rsidRDefault="00CE53BB" w:rsidP="00F565FA">
            <w:pPr>
              <w:pStyle w:val="ConsPlusCell"/>
              <w:spacing w:line="276" w:lineRule="auto"/>
            </w:pPr>
            <w:proofErr w:type="gramStart"/>
            <w:r w:rsidRPr="009574DF">
              <w:t>Утвержден</w:t>
            </w:r>
            <w:proofErr w:type="gramEnd"/>
            <w:r w:rsidRPr="009574DF">
              <w:t xml:space="preserve"> в приложении 1 к муниципальной программе.</w:t>
            </w:r>
          </w:p>
        </w:tc>
      </w:tr>
      <w:tr w:rsidR="00CE53BB" w:rsidRPr="00193331" w:rsidTr="00F565FA">
        <w:trPr>
          <w:trHeight w:val="1265"/>
        </w:trPr>
        <w:tc>
          <w:tcPr>
            <w:tcW w:w="3060" w:type="dxa"/>
          </w:tcPr>
          <w:p w:rsidR="00CE53BB" w:rsidRPr="00BD0708" w:rsidRDefault="00CE53BB" w:rsidP="00F565FA">
            <w:pPr>
              <w:pStyle w:val="ConsPlusCell"/>
            </w:pPr>
            <w:r w:rsidRPr="00BD0708">
              <w:t>Информация по ресурсному обеспечению муниципальной программы Минусинского района, в том числе по годам реализации программы</w:t>
            </w:r>
          </w:p>
        </w:tc>
        <w:tc>
          <w:tcPr>
            <w:tcW w:w="6300" w:type="dxa"/>
          </w:tcPr>
          <w:p w:rsidR="00CE53BB" w:rsidRPr="009574DF" w:rsidRDefault="00CE53BB" w:rsidP="00F565FA">
            <w:pPr>
              <w:keepNext/>
              <w:autoSpaceDE w:val="0"/>
              <w:rPr>
                <w:b/>
              </w:rPr>
            </w:pPr>
            <w:r w:rsidRPr="009574DF">
              <w:t>Общий объем финансирования муниципальной программы за период в 2014 - 2026 годах за счет всех источников составит – 2141509,79855 тыс. руб., в том числе: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2014г. – 81832,69632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 xml:space="preserve">2015г. – 84916,2647 </w:t>
            </w:r>
            <w:r w:rsidRPr="009574DF">
              <w:rPr>
                <w:bCs/>
              </w:rPr>
              <w:t>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2016г.</w:t>
            </w:r>
            <w:r w:rsidRPr="009574DF">
              <w:rPr>
                <w:b/>
              </w:rPr>
              <w:t xml:space="preserve"> </w:t>
            </w:r>
            <w:r w:rsidRPr="009574DF">
              <w:t>– 95479,87977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2017г. – 105437,30645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2018г. – 121644,19486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2019г. – 133839,90804 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2020г. – 140940,27519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2021г. –  158423,57284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2022г. –  197901,91265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2023г. –  188491,78536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2024г. –  217387,72037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2025г. –  215767,645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2026г. –  199921,955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2027г. – 199524,682 тыс. рублей.</w:t>
            </w:r>
          </w:p>
          <w:p w:rsidR="00CE53BB" w:rsidRPr="00CE53BB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в том числе: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средства районного бюджета – 1987347,13303 тыс. рублей: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 xml:space="preserve">2014г. – 78448,29332 </w:t>
            </w:r>
            <w:r w:rsidRPr="009574DF">
              <w:rPr>
                <w:bCs/>
              </w:rPr>
              <w:t>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rPr>
                <w:bCs/>
              </w:rPr>
              <w:t>2015г. – 75899,7017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rPr>
                <w:bCs/>
              </w:rPr>
              <w:t>2016г. – 92304,12977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2017г. – 93680,0096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2018г. – 96965,07386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2019г. – 101310,26315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2020г. – 128604,61478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2021г. – 148827,37784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2022г. – 172713,64665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2023г. – 182423,98536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2024г. – 202704,755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2025г. – 215127,145.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2026г. – 199283,755тыс.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2027г. – 199054,382 тыс. рублей.</w:t>
            </w:r>
          </w:p>
          <w:p w:rsidR="00CE53BB" w:rsidRPr="009574DF" w:rsidRDefault="00CE53BB" w:rsidP="00F565FA">
            <w:pPr>
              <w:keepNext/>
              <w:autoSpaceDE w:val="0"/>
              <w:rPr>
                <w:bCs/>
              </w:rPr>
            </w:pPr>
            <w:r w:rsidRPr="009574DF">
              <w:rPr>
                <w:bCs/>
              </w:rPr>
              <w:t>средства краевого бюджета – 117811408,73 тыс. рублей: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lastRenderedPageBreak/>
              <w:t xml:space="preserve">2014г.– 3334,403 </w:t>
            </w:r>
            <w:r w:rsidRPr="009574DF">
              <w:rPr>
                <w:bCs/>
              </w:rPr>
              <w:t>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rPr>
                <w:bCs/>
              </w:rPr>
              <w:t>2015г. – 8734,663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rPr>
                <w:bCs/>
              </w:rPr>
              <w:t>2016г. – 3107,350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2017г. – 10606,59685 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2018г. – 23072,17785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2019г. – 31673,146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2020г. – 11743,28093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2021г. – 8811,65039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2022г. – 8374,26213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2023г. – 744,51857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2024г. – 5860,36001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2025г. – 640,5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2026г. – 638,2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2027г. – 470,3 тыс. рублей</w:t>
            </w:r>
            <w:proofErr w:type="gramStart"/>
            <w:r w:rsidRPr="009574DF">
              <w:t>..</w:t>
            </w:r>
            <w:proofErr w:type="gramEnd"/>
          </w:p>
          <w:p w:rsidR="00CE53BB" w:rsidRPr="009574DF" w:rsidRDefault="00CE53BB" w:rsidP="00F565FA">
            <w:pPr>
              <w:keepNext/>
              <w:autoSpaceDE w:val="0"/>
              <w:rPr>
                <w:bCs/>
                <w:color w:val="000000"/>
              </w:rPr>
            </w:pPr>
            <w:r w:rsidRPr="009574DF">
              <w:rPr>
                <w:bCs/>
              </w:rPr>
              <w:t>средства федерального бюджета  36351,25679тыс. рублей: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 xml:space="preserve">2014г.– 50,0 </w:t>
            </w:r>
            <w:r w:rsidRPr="009574DF">
              <w:rPr>
                <w:bCs/>
              </w:rPr>
              <w:t>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rPr>
                <w:bCs/>
              </w:rPr>
              <w:t>2015г. – 281,900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rPr>
                <w:bCs/>
              </w:rPr>
              <w:t>2016г. – 68,4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2017г. – 1150,7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2018г. – 1606,94315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2019г. – 856,49889 тыс. рублей;</w:t>
            </w:r>
          </w:p>
          <w:p w:rsidR="00CE53BB" w:rsidRPr="009574DF" w:rsidRDefault="00CE53BB" w:rsidP="00F565FA">
            <w:pPr>
              <w:keepNext/>
              <w:autoSpaceDE w:val="0"/>
              <w:rPr>
                <w:rFonts w:ascii="Arial" w:hAnsi="Arial" w:cs="Arial"/>
              </w:rPr>
            </w:pPr>
            <w:r w:rsidRPr="009574DF">
              <w:t>2020г. – 592,37948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2021г. – 784,54461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2022г. – 16814,00387тыс.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2023г. –  5323,28143тыс.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2024г. – 8822,60536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2025г. –  0,0тыс.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2026г. – 0,0 тыс. рублей;</w:t>
            </w:r>
          </w:p>
          <w:p w:rsidR="00CE53BB" w:rsidRPr="009574DF" w:rsidRDefault="00CE53BB" w:rsidP="00F565FA">
            <w:pPr>
              <w:keepNext/>
              <w:autoSpaceDE w:val="0"/>
            </w:pPr>
            <w:r w:rsidRPr="009574DF">
              <w:t>2027г. – 0,0 тыс. рублей.</w:t>
            </w:r>
          </w:p>
        </w:tc>
      </w:tr>
    </w:tbl>
    <w:p w:rsidR="00CE53BB" w:rsidRDefault="00CE53BB">
      <w:pPr>
        <w:sectPr w:rsidR="00CE53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82" w:type="dxa"/>
        <w:tblLook w:val="04A0" w:firstRow="1" w:lastRow="0" w:firstColumn="1" w:lastColumn="0" w:noHBand="0" w:noVBand="1"/>
      </w:tblPr>
      <w:tblGrid>
        <w:gridCol w:w="8472"/>
        <w:gridCol w:w="7110"/>
      </w:tblGrid>
      <w:tr w:rsidR="00CE53BB" w:rsidTr="00CE53BB">
        <w:tc>
          <w:tcPr>
            <w:tcW w:w="8472" w:type="dxa"/>
          </w:tcPr>
          <w:p w:rsidR="00CE53BB" w:rsidRPr="00CF1D9D" w:rsidRDefault="00CE53BB" w:rsidP="00F565FA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CE53BB" w:rsidRPr="00CF1D9D" w:rsidRDefault="00CE53BB" w:rsidP="00F565FA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F1D9D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CE53BB" w:rsidRPr="00D20D99" w:rsidRDefault="00CE53BB" w:rsidP="00F565FA">
            <w:pPr>
              <w:ind w:left="10490" w:hanging="10490"/>
            </w:pPr>
            <w:r w:rsidRPr="00D20D99">
              <w:t>к муниципальной программе Минусинского района</w:t>
            </w:r>
          </w:p>
          <w:p w:rsidR="00CE53BB" w:rsidRPr="00CF1D9D" w:rsidRDefault="00CE53BB" w:rsidP="00F565FA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F1D9D">
              <w:rPr>
                <w:rFonts w:ascii="Times New Roman" w:hAnsi="Times New Roman" w:cs="Times New Roman"/>
                <w:sz w:val="24"/>
                <w:szCs w:val="24"/>
              </w:rPr>
              <w:t>«Развитие культуры в Минусинском районе»</w:t>
            </w:r>
          </w:p>
        </w:tc>
      </w:tr>
    </w:tbl>
    <w:p w:rsidR="00CE53BB" w:rsidRDefault="00CE53BB" w:rsidP="00CE53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E53BB" w:rsidRPr="00BD0708" w:rsidRDefault="00CE53BB" w:rsidP="00CE53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D0708">
        <w:rPr>
          <w:rFonts w:ascii="Times New Roman" w:hAnsi="Times New Roman" w:cs="Times New Roman"/>
          <w:sz w:val="24"/>
          <w:szCs w:val="24"/>
        </w:rPr>
        <w:t>еречень</w:t>
      </w:r>
    </w:p>
    <w:p w:rsidR="00CE53BB" w:rsidRPr="00BD0708" w:rsidRDefault="00CE53BB" w:rsidP="00CE53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0708">
        <w:rPr>
          <w:rFonts w:ascii="Times New Roman" w:hAnsi="Times New Roman" w:cs="Times New Roman"/>
          <w:sz w:val="24"/>
          <w:szCs w:val="24"/>
        </w:rPr>
        <w:t xml:space="preserve">целевых показателей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D0708">
        <w:rPr>
          <w:rFonts w:ascii="Times New Roman" w:hAnsi="Times New Roman" w:cs="Times New Roman"/>
          <w:sz w:val="24"/>
          <w:szCs w:val="24"/>
        </w:rPr>
        <w:t>инусинского района</w:t>
      </w:r>
    </w:p>
    <w:p w:rsidR="00CE53BB" w:rsidRPr="00BD0708" w:rsidRDefault="00CE53BB" w:rsidP="00CE53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0708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</w:t>
      </w:r>
    </w:p>
    <w:p w:rsidR="00CE53BB" w:rsidRPr="00BD0708" w:rsidRDefault="00CE53BB" w:rsidP="00CE53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0708">
        <w:rPr>
          <w:rFonts w:ascii="Times New Roman" w:hAnsi="Times New Roman" w:cs="Times New Roman"/>
          <w:sz w:val="24"/>
          <w:szCs w:val="24"/>
        </w:rPr>
        <w:t>в результате реализации муниципальной программы</w:t>
      </w:r>
    </w:p>
    <w:p w:rsidR="00CE53BB" w:rsidRPr="00BD0708" w:rsidRDefault="00CE53BB" w:rsidP="00CE53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D0708">
        <w:rPr>
          <w:rFonts w:ascii="Times New Roman" w:hAnsi="Times New Roman" w:cs="Times New Roman"/>
          <w:sz w:val="24"/>
          <w:szCs w:val="24"/>
        </w:rPr>
        <w:t>минусинского района</w:t>
      </w:r>
    </w:p>
    <w:p w:rsidR="00CE53BB" w:rsidRPr="00BD0708" w:rsidRDefault="00CE53BB" w:rsidP="00CE53B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"/>
        <w:gridCol w:w="3076"/>
        <w:gridCol w:w="941"/>
        <w:gridCol w:w="862"/>
        <w:gridCol w:w="862"/>
        <w:gridCol w:w="862"/>
        <w:gridCol w:w="867"/>
        <w:gridCol w:w="851"/>
        <w:gridCol w:w="1134"/>
        <w:gridCol w:w="992"/>
        <w:gridCol w:w="1147"/>
        <w:gridCol w:w="904"/>
        <w:gridCol w:w="1276"/>
      </w:tblGrid>
      <w:tr w:rsidR="00CE53BB" w:rsidRPr="00BD0708" w:rsidTr="00F565FA">
        <w:tc>
          <w:tcPr>
            <w:tcW w:w="530" w:type="dxa"/>
            <w:vMerge w:val="restart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76" w:type="dxa"/>
            <w:vMerge w:val="restart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941" w:type="dxa"/>
            <w:vMerge w:val="restart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62" w:type="dxa"/>
            <w:vMerge w:val="restart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62" w:type="dxa"/>
            <w:vMerge w:val="restart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2" w:type="dxa"/>
            <w:vMerge w:val="restart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71" w:type="dxa"/>
            <w:gridSpan w:val="7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CE53BB" w:rsidRPr="00BD0708" w:rsidTr="00F565FA">
        <w:tc>
          <w:tcPr>
            <w:tcW w:w="530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3076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941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862" w:type="dxa"/>
            <w:vMerge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862" w:type="dxa"/>
            <w:vMerge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862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867" w:type="dxa"/>
            <w:vMerge w:val="restart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Merge w:val="restart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vMerge w:val="restart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vMerge w:val="restart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7" w:type="dxa"/>
            <w:vMerge w:val="restart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CE53BB" w:rsidRPr="00BD0708" w:rsidTr="00F565FA">
        <w:tc>
          <w:tcPr>
            <w:tcW w:w="530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3076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941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862" w:type="dxa"/>
            <w:vMerge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862" w:type="dxa"/>
            <w:vMerge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862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867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1147" w:type="dxa"/>
            <w:vMerge/>
            <w:vAlign w:val="center"/>
          </w:tcPr>
          <w:p w:rsidR="00CE53BB" w:rsidRPr="00BD0708" w:rsidRDefault="00CE53BB" w:rsidP="00F565FA">
            <w:pPr>
              <w:jc w:val="center"/>
            </w:pPr>
          </w:p>
        </w:tc>
        <w:tc>
          <w:tcPr>
            <w:tcW w:w="904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CE53BB" w:rsidRPr="00BD0708" w:rsidTr="00F565FA">
        <w:tc>
          <w:tcPr>
            <w:tcW w:w="530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6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" w:type="dxa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2" w:type="dxa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2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7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7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53BB" w:rsidRPr="00BD0708" w:rsidRDefault="00CE53BB" w:rsidP="00F565F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70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E53BB" w:rsidRPr="00BD0708" w:rsidRDefault="00CE53BB" w:rsidP="00F565FA">
            <w:pPr>
              <w:pStyle w:val="a5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BD070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53BB" w:rsidRPr="00BD0708" w:rsidTr="00F565FA">
        <w:tc>
          <w:tcPr>
            <w:tcW w:w="530" w:type="dxa"/>
          </w:tcPr>
          <w:p w:rsidR="00CE53BB" w:rsidRPr="00BD0708" w:rsidRDefault="00CE53BB" w:rsidP="00F565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74" w:type="dxa"/>
            <w:gridSpan w:val="12"/>
          </w:tcPr>
          <w:p w:rsidR="00CE53BB" w:rsidRPr="003C2993" w:rsidRDefault="00CE53BB" w:rsidP="00F565FA">
            <w:pPr>
              <w:jc w:val="center"/>
            </w:pPr>
            <w:r w:rsidRPr="003C2993">
              <w:t>Цель: Создание условий для развития и реализации культурного и духовного потенциала населения Минусинского района</w:t>
            </w:r>
          </w:p>
        </w:tc>
      </w:tr>
      <w:tr w:rsidR="00CE53BB" w:rsidRPr="00CA6C75" w:rsidTr="00F565FA">
        <w:tc>
          <w:tcPr>
            <w:tcW w:w="530" w:type="dxa"/>
          </w:tcPr>
          <w:p w:rsidR="00CE53BB" w:rsidRPr="00CA6C75" w:rsidRDefault="00CE53BB" w:rsidP="00CE53BB">
            <w:pPr>
              <w:pStyle w:val="ConsPlusNormal"/>
              <w:widowControl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CE53BB" w:rsidRPr="002359EB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организаций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1" w:type="dxa"/>
            <w:vAlign w:val="center"/>
          </w:tcPr>
          <w:p w:rsidR="00CE53BB" w:rsidRPr="002359EB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62" w:type="dxa"/>
            <w:vAlign w:val="center"/>
          </w:tcPr>
          <w:p w:rsidR="00CE53BB" w:rsidRPr="002359EB" w:rsidRDefault="00CE53BB" w:rsidP="00F565FA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862" w:type="dxa"/>
            <w:vAlign w:val="center"/>
          </w:tcPr>
          <w:p w:rsidR="00CE53BB" w:rsidRPr="002359EB" w:rsidRDefault="00CE53BB" w:rsidP="00F565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862" w:type="dxa"/>
            <w:vAlign w:val="center"/>
          </w:tcPr>
          <w:p w:rsidR="00CE53BB" w:rsidRPr="002359EB" w:rsidRDefault="00CE53BB" w:rsidP="00F565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867" w:type="dxa"/>
            <w:vAlign w:val="center"/>
          </w:tcPr>
          <w:p w:rsidR="00CE53BB" w:rsidRPr="002359EB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851" w:type="dxa"/>
            <w:vAlign w:val="center"/>
          </w:tcPr>
          <w:p w:rsidR="00CE53BB" w:rsidRPr="002359EB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134" w:type="dxa"/>
            <w:vAlign w:val="center"/>
          </w:tcPr>
          <w:p w:rsidR="00CE53BB" w:rsidRPr="002359EB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992" w:type="dxa"/>
            <w:vAlign w:val="center"/>
          </w:tcPr>
          <w:p w:rsidR="00CE53BB" w:rsidRPr="002359EB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147" w:type="dxa"/>
            <w:vAlign w:val="center"/>
          </w:tcPr>
          <w:p w:rsidR="00CE53BB" w:rsidRPr="002359EB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CE53BB" w:rsidRPr="002359EB" w:rsidRDefault="00CE53BB" w:rsidP="00F565FA">
            <w:pPr>
              <w:pStyle w:val="ConsPlusNormal"/>
              <w:ind w:right="-6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CE53BB" w:rsidRPr="002359EB" w:rsidRDefault="00CE53BB" w:rsidP="00F565F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9EB">
              <w:rPr>
                <w:rFonts w:ascii="Times New Roman" w:hAnsi="Times New Roman"/>
                <w:sz w:val="24"/>
                <w:szCs w:val="24"/>
              </w:rPr>
              <w:t>1%</w:t>
            </w:r>
          </w:p>
        </w:tc>
        <w:tc>
          <w:tcPr>
            <w:tcW w:w="1276" w:type="dxa"/>
            <w:vAlign w:val="center"/>
          </w:tcPr>
          <w:p w:rsidR="00CE53BB" w:rsidRPr="002359EB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CE53BB" w:rsidRPr="00BD0708" w:rsidTr="00F565FA">
        <w:tc>
          <w:tcPr>
            <w:tcW w:w="530" w:type="dxa"/>
          </w:tcPr>
          <w:p w:rsidR="00CE53BB" w:rsidRPr="00BD0708" w:rsidRDefault="00CE53BB" w:rsidP="00F565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076" w:type="dxa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охваченного библиотечными услугами с </w:t>
            </w:r>
            <w:r w:rsidRPr="00BD0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современных информационно-коммуникационных технологий в общей численности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1" w:type="dxa"/>
            <w:vAlign w:val="center"/>
          </w:tcPr>
          <w:p w:rsidR="00CE53BB" w:rsidRPr="00BD0708" w:rsidRDefault="00CE53BB" w:rsidP="00F565FA">
            <w:pPr>
              <w:pStyle w:val="ConsPlusNormal"/>
              <w:widowControl/>
              <w:ind w:right="-85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62" w:type="dxa"/>
            <w:vAlign w:val="center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862" w:type="dxa"/>
            <w:vAlign w:val="center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862" w:type="dxa"/>
            <w:vAlign w:val="center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867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не менее 52</w:t>
            </w:r>
          </w:p>
        </w:tc>
        <w:tc>
          <w:tcPr>
            <w:tcW w:w="992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vAlign w:val="center"/>
          </w:tcPr>
          <w:p w:rsidR="00CE53BB" w:rsidRPr="00BD0708" w:rsidRDefault="00CE53BB" w:rsidP="00F565F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708">
              <w:rPr>
                <w:rFonts w:ascii="Times New Roman" w:hAnsi="Times New Roman"/>
                <w:sz w:val="24"/>
                <w:szCs w:val="24"/>
              </w:rPr>
              <w:t>не менее 53</w:t>
            </w:r>
          </w:p>
        </w:tc>
        <w:tc>
          <w:tcPr>
            <w:tcW w:w="1276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9EB">
              <w:rPr>
                <w:rFonts w:ascii="Times New Roman" w:hAnsi="Times New Roman" w:cs="Times New Roman"/>
                <w:sz w:val="24"/>
                <w:szCs w:val="24"/>
              </w:rPr>
              <w:t>не менее 54</w:t>
            </w:r>
          </w:p>
        </w:tc>
      </w:tr>
      <w:tr w:rsidR="00CE53BB" w:rsidRPr="00BD0708" w:rsidTr="00F565FA">
        <w:tc>
          <w:tcPr>
            <w:tcW w:w="530" w:type="dxa"/>
          </w:tcPr>
          <w:p w:rsidR="00CE53BB" w:rsidRPr="00BD0708" w:rsidRDefault="00CE53BB" w:rsidP="00F565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076" w:type="dxa"/>
          </w:tcPr>
          <w:p w:rsidR="00CE53BB" w:rsidRPr="00BD0708" w:rsidRDefault="00CE53BB" w:rsidP="00F565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исполнения бюджетных назначений, формируемых в рамках мероприятий муниципальной программы Минусинского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41" w:type="dxa"/>
            <w:vAlign w:val="center"/>
          </w:tcPr>
          <w:p w:rsidR="00CE53BB" w:rsidRPr="00BD0708" w:rsidRDefault="00CE53BB" w:rsidP="00F565FA">
            <w:pPr>
              <w:pStyle w:val="ConsPlusNormal"/>
              <w:widowControl/>
              <w:ind w:right="-85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62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62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62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67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не менее 96</w:t>
            </w:r>
          </w:p>
        </w:tc>
        <w:tc>
          <w:tcPr>
            <w:tcW w:w="992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не менее 96</w:t>
            </w:r>
          </w:p>
        </w:tc>
        <w:tc>
          <w:tcPr>
            <w:tcW w:w="1147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не менее 96</w:t>
            </w:r>
          </w:p>
        </w:tc>
        <w:tc>
          <w:tcPr>
            <w:tcW w:w="904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не менее 96</w:t>
            </w:r>
          </w:p>
        </w:tc>
        <w:tc>
          <w:tcPr>
            <w:tcW w:w="1276" w:type="dxa"/>
            <w:vAlign w:val="center"/>
          </w:tcPr>
          <w:p w:rsidR="00CE53BB" w:rsidRPr="00BD0708" w:rsidRDefault="00CE53BB" w:rsidP="00F565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08">
              <w:rPr>
                <w:rFonts w:ascii="Times New Roman" w:hAnsi="Times New Roman" w:cs="Times New Roman"/>
                <w:sz w:val="24"/>
                <w:szCs w:val="24"/>
              </w:rPr>
              <w:t>не менее 96</w:t>
            </w:r>
          </w:p>
        </w:tc>
      </w:tr>
    </w:tbl>
    <w:p w:rsidR="00A7135F" w:rsidRDefault="00A7135F"/>
    <w:sectPr w:rsidR="00A7135F" w:rsidSect="00CE53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77B0"/>
    <w:multiLevelType w:val="multilevel"/>
    <w:tmpl w:val="617674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BB"/>
    <w:rsid w:val="00A7135F"/>
    <w:rsid w:val="00CE53BB"/>
    <w:rsid w:val="00E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B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E53B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CE53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3BB"/>
    <w:rPr>
      <w:rFonts w:ascii="Arial" w:eastAsia="Times New Roman" w:hAnsi="Arial" w:cs="Times New Roman"/>
      <w:b/>
      <w:bCs/>
      <w:kern w:val="32"/>
      <w:sz w:val="32"/>
      <w:szCs w:val="32"/>
      <w:lang w:val="x-none" w:eastAsia="ar-SA"/>
    </w:rPr>
  </w:style>
  <w:style w:type="character" w:customStyle="1" w:styleId="20">
    <w:name w:val="Заголовок 2 Знак"/>
    <w:basedOn w:val="a0"/>
    <w:link w:val="2"/>
    <w:rsid w:val="00CE53BB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customStyle="1" w:styleId="ConsPlusCell">
    <w:name w:val="ConsPlusCell"/>
    <w:uiPriority w:val="99"/>
    <w:rsid w:val="00CE53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E5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E53B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E5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53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3BB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link w:val="a6"/>
    <w:qFormat/>
    <w:rsid w:val="00CE5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a6">
    <w:name w:val="Без интервала Знак"/>
    <w:link w:val="a5"/>
    <w:locked/>
    <w:rsid w:val="00CE53BB"/>
    <w:rPr>
      <w:rFonts w:ascii="Arial" w:eastAsia="Times New Roman" w:hAnsi="Arial" w:cs="Times New Roman"/>
      <w:sz w:val="26"/>
      <w:szCs w:val="26"/>
      <w:lang w:eastAsia="ru-RU"/>
    </w:rPr>
  </w:style>
  <w:style w:type="character" w:styleId="a7">
    <w:name w:val="Emphasis"/>
    <w:qFormat/>
    <w:rsid w:val="00CE53B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B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E53B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CE53B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3BB"/>
    <w:rPr>
      <w:rFonts w:ascii="Arial" w:eastAsia="Times New Roman" w:hAnsi="Arial" w:cs="Times New Roman"/>
      <w:b/>
      <w:bCs/>
      <w:kern w:val="32"/>
      <w:sz w:val="32"/>
      <w:szCs w:val="32"/>
      <w:lang w:val="x-none" w:eastAsia="ar-SA"/>
    </w:rPr>
  </w:style>
  <w:style w:type="character" w:customStyle="1" w:styleId="20">
    <w:name w:val="Заголовок 2 Знак"/>
    <w:basedOn w:val="a0"/>
    <w:link w:val="2"/>
    <w:rsid w:val="00CE53BB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customStyle="1" w:styleId="ConsPlusCell">
    <w:name w:val="ConsPlusCell"/>
    <w:uiPriority w:val="99"/>
    <w:rsid w:val="00CE53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E5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E53B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E5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53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3BB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link w:val="a6"/>
    <w:qFormat/>
    <w:rsid w:val="00CE53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a6">
    <w:name w:val="Без интервала Знак"/>
    <w:link w:val="a5"/>
    <w:locked/>
    <w:rsid w:val="00CE53BB"/>
    <w:rPr>
      <w:rFonts w:ascii="Arial" w:eastAsia="Times New Roman" w:hAnsi="Arial" w:cs="Times New Roman"/>
      <w:sz w:val="26"/>
      <w:szCs w:val="26"/>
      <w:lang w:eastAsia="ru-RU"/>
    </w:rPr>
  </w:style>
  <w:style w:type="character" w:styleId="a7">
    <w:name w:val="Emphasis"/>
    <w:qFormat/>
    <w:rsid w:val="00CE53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2</cp:revision>
  <dcterms:created xsi:type="dcterms:W3CDTF">2024-11-08T03:17:00Z</dcterms:created>
  <dcterms:modified xsi:type="dcterms:W3CDTF">2024-11-13T08:10:00Z</dcterms:modified>
</cp:coreProperties>
</file>